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39" w:rsidRDefault="00711039" w:rsidP="00711039">
      <w:pPr>
        <w:rPr>
          <w:rFonts w:ascii="Times New Roman"/>
          <w:sz w:val="20"/>
        </w:rPr>
      </w:pPr>
      <w:r>
        <w:rPr>
          <w:rFonts w:ascii="Times New Roman"/>
          <w:sz w:val="20"/>
        </w:rPr>
        <w:t>For</w:t>
      </w:r>
      <w:r>
        <w:rPr>
          <w:rFonts w:ascii="Times New Roman"/>
          <w:spacing w:val="-5"/>
          <w:sz w:val="20"/>
        </w:rPr>
        <w:t xml:space="preserve"> </w:t>
      </w:r>
      <w:r>
        <w:rPr>
          <w:rFonts w:ascii="Times New Roman"/>
          <w:sz w:val="20"/>
        </w:rPr>
        <w:t>Immediate</w:t>
      </w:r>
      <w:r>
        <w:rPr>
          <w:rFonts w:ascii="Times New Roman"/>
          <w:spacing w:val="-5"/>
          <w:sz w:val="20"/>
        </w:rPr>
        <w:t xml:space="preserve"> </w:t>
      </w:r>
      <w:r>
        <w:rPr>
          <w:rFonts w:ascii="Times New Roman"/>
          <w:sz w:val="20"/>
        </w:rPr>
        <w:t>Release</w:t>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t>Media Contact:</w:t>
      </w:r>
      <w:r>
        <w:rPr>
          <w:rFonts w:ascii="Times New Roman"/>
          <w:sz w:val="20"/>
        </w:rPr>
        <w:tab/>
      </w:r>
      <w:r>
        <w:rPr>
          <w:rFonts w:ascii="Times New Roman"/>
          <w:sz w:val="20"/>
        </w:rPr>
        <w:tab/>
      </w:r>
      <w:r>
        <w:rPr>
          <w:rFonts w:ascii="Times New Roman"/>
          <w:sz w:val="20"/>
        </w:rPr>
        <w:tab/>
      </w:r>
    </w:p>
    <w:p w:rsidR="00711039" w:rsidRDefault="006E33AB" w:rsidP="00711039">
      <w:pPr>
        <w:rPr>
          <w:rFonts w:ascii="Times New Roman" w:eastAsia="Times New Roman" w:hAnsi="Times New Roman" w:cs="Times New Roman"/>
          <w:sz w:val="20"/>
          <w:szCs w:val="20"/>
        </w:rPr>
      </w:pPr>
      <w:r>
        <w:rPr>
          <w:rFonts w:ascii="Times New Roman"/>
          <w:sz w:val="20"/>
        </w:rPr>
        <w:t>April 2</w:t>
      </w:r>
      <w:r w:rsidR="003A0C1D">
        <w:rPr>
          <w:rFonts w:ascii="Times New Roman"/>
          <w:sz w:val="20"/>
        </w:rPr>
        <w:t>6</w:t>
      </w:r>
      <w:r w:rsidR="00711039">
        <w:rPr>
          <w:rFonts w:ascii="Times New Roman"/>
          <w:sz w:val="20"/>
        </w:rPr>
        <w:t>,</w:t>
      </w:r>
      <w:r w:rsidR="00711039">
        <w:rPr>
          <w:rFonts w:ascii="Times New Roman"/>
          <w:spacing w:val="-2"/>
          <w:sz w:val="20"/>
        </w:rPr>
        <w:t xml:space="preserve"> </w:t>
      </w:r>
      <w:r w:rsidR="00711039">
        <w:rPr>
          <w:rFonts w:ascii="Times New Roman"/>
          <w:sz w:val="20"/>
        </w:rPr>
        <w:t>201</w:t>
      </w:r>
      <w:r>
        <w:rPr>
          <w:rFonts w:ascii="Times New Roman"/>
          <w:sz w:val="20"/>
        </w:rPr>
        <w:t>8</w:t>
      </w:r>
      <w:r w:rsidR="00711039">
        <w:rPr>
          <w:rFonts w:ascii="Times New Roman"/>
          <w:sz w:val="20"/>
        </w:rPr>
        <w:tab/>
      </w:r>
      <w:r w:rsidR="00711039">
        <w:rPr>
          <w:rFonts w:ascii="Times New Roman"/>
          <w:sz w:val="20"/>
        </w:rPr>
        <w:tab/>
      </w:r>
      <w:r w:rsidR="00711039">
        <w:rPr>
          <w:rFonts w:ascii="Times New Roman"/>
          <w:sz w:val="20"/>
        </w:rPr>
        <w:tab/>
      </w:r>
      <w:r w:rsidR="00711039">
        <w:rPr>
          <w:rFonts w:ascii="Times New Roman"/>
          <w:sz w:val="20"/>
        </w:rPr>
        <w:tab/>
      </w:r>
      <w:r w:rsidR="00711039">
        <w:rPr>
          <w:rFonts w:ascii="Times New Roman"/>
          <w:sz w:val="20"/>
        </w:rPr>
        <w:tab/>
      </w:r>
      <w:r w:rsidR="00711039">
        <w:rPr>
          <w:rFonts w:ascii="Times New Roman"/>
          <w:sz w:val="20"/>
        </w:rPr>
        <w:tab/>
      </w:r>
      <w:r w:rsidR="007A3709">
        <w:rPr>
          <w:rFonts w:ascii="Times New Roman"/>
          <w:sz w:val="20"/>
        </w:rPr>
        <w:t xml:space="preserve">              </w:t>
      </w:r>
      <w:r w:rsidR="00711039">
        <w:rPr>
          <w:rFonts w:ascii="Times New Roman"/>
          <w:sz w:val="20"/>
        </w:rPr>
        <w:t>Elaine Driscoll (MGC)</w:t>
      </w:r>
      <w:r w:rsidR="00711039">
        <w:rPr>
          <w:rFonts w:ascii="Times New Roman"/>
          <w:spacing w:val="-5"/>
          <w:sz w:val="20"/>
        </w:rPr>
        <w:t xml:space="preserve"> </w:t>
      </w:r>
      <w:r w:rsidR="00711039">
        <w:rPr>
          <w:rFonts w:ascii="Times New Roman"/>
          <w:sz w:val="20"/>
        </w:rPr>
        <w:t>617-571-2964</w:t>
      </w:r>
    </w:p>
    <w:p w:rsidR="00F57D09" w:rsidRPr="00F57D09" w:rsidRDefault="00F57D09" w:rsidP="00F57D09">
      <w:pPr>
        <w:rPr>
          <w:rFonts w:ascii="Times New Roman" w:eastAsia="Times New Roman" w:hAnsi="Times New Roman" w:cs="Times New Roman"/>
          <w:sz w:val="20"/>
          <w:szCs w:val="20"/>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F57D09">
        <w:rPr>
          <w:rFonts w:ascii="Times New Roman"/>
          <w:sz w:val="20"/>
          <w:szCs w:val="20"/>
        </w:rPr>
        <w:t>Press release:</w:t>
      </w:r>
      <w:r w:rsidRPr="00F57D09">
        <w:rPr>
          <w:rFonts w:ascii="Times New Roman"/>
          <w:spacing w:val="-4"/>
          <w:sz w:val="20"/>
          <w:szCs w:val="20"/>
        </w:rPr>
        <w:t xml:space="preserve"> </w:t>
      </w:r>
      <w:r w:rsidRPr="00F57D09">
        <w:rPr>
          <w:rFonts w:ascii="Times New Roman"/>
          <w:sz w:val="20"/>
          <w:szCs w:val="20"/>
        </w:rPr>
        <w:t>1</w:t>
      </w:r>
      <w:r w:rsidR="006E33AB">
        <w:rPr>
          <w:rFonts w:ascii="Times New Roman"/>
          <w:sz w:val="20"/>
          <w:szCs w:val="20"/>
        </w:rPr>
        <w:t>8</w:t>
      </w:r>
      <w:r w:rsidRPr="00F57D09">
        <w:rPr>
          <w:rFonts w:ascii="Times New Roman"/>
          <w:sz w:val="20"/>
          <w:szCs w:val="20"/>
        </w:rPr>
        <w:t>-0</w:t>
      </w:r>
      <w:r w:rsidR="006E33AB">
        <w:rPr>
          <w:rFonts w:ascii="Times New Roman"/>
          <w:sz w:val="20"/>
          <w:szCs w:val="20"/>
        </w:rPr>
        <w:t>17</w:t>
      </w:r>
    </w:p>
    <w:p w:rsidR="00015BEA" w:rsidRPr="00F57D09" w:rsidRDefault="00015BEA" w:rsidP="00777C83">
      <w:pPr>
        <w:tabs>
          <w:tab w:val="left" w:pos="2880"/>
        </w:tabs>
        <w:spacing w:before="69"/>
        <w:ind w:left="1440" w:right="720" w:hanging="1440"/>
        <w:rPr>
          <w:rFonts w:ascii="Times New Roman" w:hAnsi="Times New Roman"/>
          <w:bCs/>
          <w:sz w:val="20"/>
          <w:szCs w:val="20"/>
        </w:rPr>
      </w:pPr>
    </w:p>
    <w:p w:rsidR="005B3463" w:rsidRDefault="008502B2" w:rsidP="008502B2">
      <w:pPr>
        <w:ind w:right="-450"/>
        <w:jc w:val="center"/>
        <w:rPr>
          <w:rFonts w:asciiTheme="majorHAnsi" w:eastAsia="Calibri" w:hAnsiTheme="majorHAnsi" w:cs="Times New Roman"/>
          <w:b/>
          <w:bCs/>
          <w:sz w:val="28"/>
          <w:szCs w:val="28"/>
        </w:rPr>
      </w:pPr>
      <w:r w:rsidRPr="008502B2">
        <w:rPr>
          <w:rFonts w:asciiTheme="majorHAnsi" w:eastAsia="Calibri" w:hAnsiTheme="majorHAnsi" w:cs="Times New Roman"/>
          <w:b/>
          <w:bCs/>
          <w:sz w:val="28"/>
          <w:szCs w:val="28"/>
        </w:rPr>
        <w:t xml:space="preserve">The Massachusetts Gaming Commission </w:t>
      </w:r>
      <w:r w:rsidR="00610D30">
        <w:rPr>
          <w:rFonts w:asciiTheme="majorHAnsi" w:eastAsia="Calibri" w:hAnsiTheme="majorHAnsi" w:cs="Times New Roman"/>
          <w:b/>
          <w:bCs/>
          <w:sz w:val="28"/>
          <w:szCs w:val="28"/>
        </w:rPr>
        <w:t xml:space="preserve">Awards Grants to </w:t>
      </w:r>
      <w:r w:rsidR="00537EFD">
        <w:rPr>
          <w:rFonts w:asciiTheme="majorHAnsi" w:eastAsia="Calibri" w:hAnsiTheme="majorHAnsi" w:cs="Times New Roman"/>
          <w:b/>
          <w:bCs/>
          <w:sz w:val="28"/>
          <w:szCs w:val="28"/>
        </w:rPr>
        <w:t>Advance</w:t>
      </w:r>
    </w:p>
    <w:p w:rsidR="008502B2" w:rsidRPr="008502B2" w:rsidRDefault="004B5E5C" w:rsidP="008502B2">
      <w:pPr>
        <w:ind w:right="-450"/>
        <w:jc w:val="center"/>
        <w:rPr>
          <w:rFonts w:asciiTheme="majorHAnsi" w:eastAsia="Calibri" w:hAnsiTheme="majorHAnsi" w:cs="Times New Roman"/>
          <w:b/>
          <w:bCs/>
          <w:sz w:val="28"/>
          <w:szCs w:val="28"/>
        </w:rPr>
      </w:pPr>
      <w:r>
        <w:rPr>
          <w:rFonts w:asciiTheme="majorHAnsi" w:eastAsia="Calibri" w:hAnsiTheme="majorHAnsi" w:cs="Times New Roman"/>
          <w:b/>
          <w:bCs/>
          <w:sz w:val="28"/>
          <w:szCs w:val="28"/>
        </w:rPr>
        <w:t xml:space="preserve">Workforce and </w:t>
      </w:r>
      <w:r w:rsidR="00537EFD">
        <w:rPr>
          <w:rFonts w:asciiTheme="majorHAnsi" w:eastAsia="Calibri" w:hAnsiTheme="majorHAnsi" w:cs="Times New Roman"/>
          <w:b/>
          <w:bCs/>
          <w:sz w:val="28"/>
          <w:szCs w:val="28"/>
        </w:rPr>
        <w:t>Economic Development within the Gaming</w:t>
      </w:r>
      <w:r w:rsidR="005B3463">
        <w:rPr>
          <w:rFonts w:asciiTheme="majorHAnsi" w:eastAsia="Calibri" w:hAnsiTheme="majorHAnsi" w:cs="Times New Roman"/>
          <w:b/>
          <w:bCs/>
          <w:sz w:val="28"/>
          <w:szCs w:val="28"/>
        </w:rPr>
        <w:t xml:space="preserve"> Industry</w:t>
      </w:r>
    </w:p>
    <w:p w:rsidR="008502B2" w:rsidRPr="008502B2" w:rsidRDefault="008502B2" w:rsidP="008502B2">
      <w:pPr>
        <w:jc w:val="center"/>
        <w:rPr>
          <w:rFonts w:asciiTheme="majorHAnsi" w:eastAsia="Calibri" w:hAnsiTheme="majorHAnsi" w:cs="Times New Roman"/>
          <w:bCs/>
          <w:sz w:val="28"/>
          <w:szCs w:val="28"/>
        </w:rPr>
      </w:pPr>
    </w:p>
    <w:p w:rsidR="008502B2" w:rsidRDefault="008502B2" w:rsidP="00D20CB0">
      <w:pPr>
        <w:jc w:val="both"/>
        <w:rPr>
          <w:rFonts w:asciiTheme="majorHAnsi" w:eastAsia="Calibri" w:hAnsiTheme="majorHAnsi" w:cs="Times New Roman"/>
          <w:sz w:val="22"/>
          <w:szCs w:val="22"/>
        </w:rPr>
      </w:pPr>
      <w:r w:rsidRPr="00200058">
        <w:rPr>
          <w:rFonts w:asciiTheme="majorHAnsi" w:eastAsia="Calibri" w:hAnsiTheme="majorHAnsi" w:cs="Times New Roman"/>
          <w:sz w:val="22"/>
          <w:szCs w:val="22"/>
        </w:rPr>
        <w:t>The Massachusetts Gaming Commission (MGC) is pleased to announce the</w:t>
      </w:r>
      <w:r w:rsidRPr="00200058">
        <w:rPr>
          <w:rFonts w:asciiTheme="majorHAnsi" w:eastAsia="Calibri" w:hAnsiTheme="majorHAnsi" w:cs="Times New Roman"/>
          <w:bCs/>
          <w:sz w:val="22"/>
          <w:szCs w:val="22"/>
        </w:rPr>
        <w:t xml:space="preserve"> </w:t>
      </w:r>
      <w:r w:rsidR="00610D30" w:rsidRPr="00200058">
        <w:rPr>
          <w:rFonts w:asciiTheme="majorHAnsi" w:eastAsia="Calibri" w:hAnsiTheme="majorHAnsi" w:cs="Times New Roman"/>
          <w:bCs/>
          <w:sz w:val="22"/>
          <w:szCs w:val="22"/>
        </w:rPr>
        <w:t>award of $</w:t>
      </w:r>
      <w:r w:rsidR="00537EFD">
        <w:rPr>
          <w:rFonts w:asciiTheme="majorHAnsi" w:eastAsia="Calibri" w:hAnsiTheme="majorHAnsi" w:cs="Times New Roman"/>
          <w:bCs/>
          <w:sz w:val="22"/>
          <w:szCs w:val="22"/>
        </w:rPr>
        <w:t>75</w:t>
      </w:r>
      <w:r w:rsidR="00610D30" w:rsidRPr="00200058">
        <w:rPr>
          <w:rFonts w:asciiTheme="majorHAnsi" w:eastAsia="Calibri" w:hAnsiTheme="majorHAnsi" w:cs="Times New Roman"/>
          <w:bCs/>
          <w:sz w:val="22"/>
          <w:szCs w:val="22"/>
        </w:rPr>
        <w:t xml:space="preserve">,000 in grants </w:t>
      </w:r>
      <w:r w:rsidR="005513D1" w:rsidRPr="00200058">
        <w:rPr>
          <w:rFonts w:asciiTheme="majorHAnsi" w:eastAsia="Calibri" w:hAnsiTheme="majorHAnsi" w:cs="Times New Roman"/>
          <w:bCs/>
          <w:sz w:val="22"/>
          <w:szCs w:val="22"/>
        </w:rPr>
        <w:t xml:space="preserve">to six </w:t>
      </w:r>
      <w:r w:rsidR="00CF592C" w:rsidRPr="00200058">
        <w:rPr>
          <w:rFonts w:asciiTheme="majorHAnsi" w:eastAsia="Calibri" w:hAnsiTheme="majorHAnsi" w:cs="Times New Roman"/>
          <w:bCs/>
          <w:sz w:val="22"/>
          <w:szCs w:val="22"/>
        </w:rPr>
        <w:t>recipients</w:t>
      </w:r>
      <w:r w:rsidR="003F4269">
        <w:rPr>
          <w:rFonts w:asciiTheme="majorHAnsi" w:eastAsia="Calibri" w:hAnsiTheme="majorHAnsi" w:cs="Times New Roman"/>
          <w:bCs/>
          <w:sz w:val="22"/>
          <w:szCs w:val="22"/>
        </w:rPr>
        <w:t xml:space="preserve"> </w:t>
      </w:r>
      <w:r w:rsidR="003F4269" w:rsidRPr="003F4269">
        <w:rPr>
          <w:rFonts w:asciiTheme="majorHAnsi" w:eastAsia="Calibri" w:hAnsiTheme="majorHAnsi" w:cs="Times New Roman"/>
          <w:bCs/>
          <w:sz w:val="22"/>
          <w:szCs w:val="22"/>
        </w:rPr>
        <w:t>statewide</w:t>
      </w:r>
      <w:r w:rsidR="003F4269">
        <w:rPr>
          <w:rFonts w:asciiTheme="majorHAnsi" w:eastAsia="Calibri" w:hAnsiTheme="majorHAnsi" w:cs="Times New Roman"/>
          <w:bCs/>
          <w:sz w:val="22"/>
          <w:szCs w:val="22"/>
        </w:rPr>
        <w:t xml:space="preserve"> as part of an effort to aid the advancement of economic development</w:t>
      </w:r>
      <w:r w:rsidR="005513D1" w:rsidRPr="003F4269">
        <w:rPr>
          <w:rFonts w:asciiTheme="majorHAnsi" w:eastAsia="Calibri" w:hAnsiTheme="majorHAnsi" w:cs="Times New Roman"/>
          <w:b/>
          <w:bCs/>
          <w:i/>
          <w:sz w:val="22"/>
          <w:szCs w:val="22"/>
        </w:rPr>
        <w:t xml:space="preserve">. </w:t>
      </w:r>
      <w:r w:rsidR="00537EFD" w:rsidRPr="003F4269">
        <w:rPr>
          <w:rFonts w:asciiTheme="majorHAnsi" w:eastAsia="Calibri" w:hAnsiTheme="majorHAnsi" w:cs="Times New Roman"/>
          <w:bCs/>
          <w:sz w:val="22"/>
          <w:szCs w:val="22"/>
        </w:rPr>
        <w:t>MGC’s</w:t>
      </w:r>
      <w:r w:rsidR="00537EFD">
        <w:rPr>
          <w:rFonts w:asciiTheme="majorHAnsi" w:eastAsia="Calibri" w:hAnsiTheme="majorHAnsi" w:cs="Times New Roman"/>
          <w:bCs/>
          <w:sz w:val="22"/>
          <w:szCs w:val="22"/>
        </w:rPr>
        <w:t xml:space="preserve"> Workforce, Supplier and Diversity Development Office </w:t>
      </w:r>
      <w:r w:rsidR="005513D1" w:rsidRPr="00200058">
        <w:rPr>
          <w:rFonts w:asciiTheme="majorHAnsi" w:eastAsia="Calibri" w:hAnsiTheme="majorHAnsi" w:cs="Times New Roman"/>
          <w:bCs/>
          <w:sz w:val="22"/>
          <w:szCs w:val="22"/>
        </w:rPr>
        <w:t xml:space="preserve">developed this grant program </w:t>
      </w:r>
      <w:r w:rsidR="00610D30" w:rsidRPr="00200058">
        <w:rPr>
          <w:rFonts w:asciiTheme="majorHAnsi" w:eastAsia="Calibri" w:hAnsiTheme="majorHAnsi" w:cs="Times New Roman"/>
          <w:bCs/>
          <w:sz w:val="22"/>
          <w:szCs w:val="22"/>
        </w:rPr>
        <w:t xml:space="preserve">to </w:t>
      </w:r>
      <w:r w:rsidR="00537EFD">
        <w:rPr>
          <w:rFonts w:asciiTheme="majorHAnsi" w:eastAsia="Calibri" w:hAnsiTheme="majorHAnsi" w:cs="Times New Roman"/>
          <w:bCs/>
          <w:sz w:val="22"/>
          <w:szCs w:val="22"/>
        </w:rPr>
        <w:t>maximize equity and inclusion within the emerging gaming industry</w:t>
      </w:r>
      <w:r w:rsidRPr="00200058">
        <w:rPr>
          <w:rFonts w:asciiTheme="majorHAnsi" w:eastAsia="Calibri" w:hAnsiTheme="majorHAnsi" w:cs="Times New Roman"/>
          <w:bCs/>
          <w:sz w:val="22"/>
          <w:szCs w:val="22"/>
        </w:rPr>
        <w:t xml:space="preserve">.  </w:t>
      </w:r>
      <w:r w:rsidRPr="00200058">
        <w:rPr>
          <w:rFonts w:asciiTheme="majorHAnsi" w:eastAsia="Calibri" w:hAnsiTheme="majorHAnsi" w:cs="Times New Roman"/>
          <w:sz w:val="22"/>
          <w:szCs w:val="22"/>
        </w:rPr>
        <w:t>Th</w:t>
      </w:r>
      <w:r w:rsidR="00474258">
        <w:rPr>
          <w:rFonts w:asciiTheme="majorHAnsi" w:eastAsia="Calibri" w:hAnsiTheme="majorHAnsi" w:cs="Times New Roman"/>
          <w:sz w:val="22"/>
          <w:szCs w:val="22"/>
        </w:rPr>
        <w:t>is grant program was created</w:t>
      </w:r>
      <w:r w:rsidR="00537EFD" w:rsidRPr="00537EFD">
        <w:rPr>
          <w:rFonts w:asciiTheme="majorHAnsi" w:eastAsia="Calibri" w:hAnsiTheme="majorHAnsi" w:cs="Times New Roman"/>
          <w:sz w:val="22"/>
          <w:szCs w:val="22"/>
        </w:rPr>
        <w:t xml:space="preserve"> </w:t>
      </w:r>
      <w:r w:rsidR="00474258">
        <w:rPr>
          <w:rFonts w:asciiTheme="majorHAnsi" w:eastAsia="Calibri" w:hAnsiTheme="majorHAnsi" w:cs="Times New Roman"/>
          <w:sz w:val="22"/>
          <w:szCs w:val="22"/>
        </w:rPr>
        <w:t xml:space="preserve">to support initiatives that will ensure an </w:t>
      </w:r>
      <w:r w:rsidR="00537EFD" w:rsidRPr="00537EFD">
        <w:rPr>
          <w:rFonts w:asciiTheme="majorHAnsi" w:eastAsia="Calibri" w:hAnsiTheme="majorHAnsi" w:cs="Times New Roman"/>
          <w:sz w:val="22"/>
          <w:szCs w:val="22"/>
        </w:rPr>
        <w:t>adequate pool of available, qualified, diverse an</w:t>
      </w:r>
      <w:r w:rsidR="00474258">
        <w:rPr>
          <w:rFonts w:asciiTheme="majorHAnsi" w:eastAsia="Calibri" w:hAnsiTheme="majorHAnsi" w:cs="Times New Roman"/>
          <w:sz w:val="22"/>
          <w:szCs w:val="22"/>
        </w:rPr>
        <w:t xml:space="preserve">d prepared applicants for the state’s </w:t>
      </w:r>
      <w:r w:rsidR="00537EFD" w:rsidRPr="00537EFD">
        <w:rPr>
          <w:rFonts w:asciiTheme="majorHAnsi" w:eastAsia="Calibri" w:hAnsiTheme="majorHAnsi" w:cs="Times New Roman"/>
          <w:sz w:val="22"/>
          <w:szCs w:val="22"/>
        </w:rPr>
        <w:t xml:space="preserve">gaming and hospitality jobs. </w:t>
      </w:r>
    </w:p>
    <w:p w:rsidR="00955799" w:rsidRDefault="00955799" w:rsidP="00D20CB0">
      <w:pPr>
        <w:jc w:val="both"/>
        <w:rPr>
          <w:rFonts w:asciiTheme="majorHAnsi" w:eastAsia="Calibri" w:hAnsiTheme="majorHAnsi" w:cs="Times New Roman"/>
          <w:sz w:val="22"/>
          <w:szCs w:val="22"/>
        </w:rPr>
      </w:pPr>
    </w:p>
    <w:p w:rsidR="00955799" w:rsidRPr="00200058" w:rsidRDefault="00955799" w:rsidP="00D20CB0">
      <w:pPr>
        <w:jc w:val="both"/>
        <w:rPr>
          <w:rFonts w:asciiTheme="majorHAnsi" w:eastAsia="Calibri" w:hAnsiTheme="majorHAnsi" w:cs="Times New Roman"/>
          <w:bCs/>
          <w:sz w:val="22"/>
          <w:szCs w:val="22"/>
        </w:rPr>
      </w:pPr>
      <w:r w:rsidRPr="00955799">
        <w:rPr>
          <w:rFonts w:asciiTheme="majorHAnsi" w:eastAsia="Calibri" w:hAnsiTheme="majorHAnsi" w:cs="Times New Roman"/>
          <w:bCs/>
          <w:sz w:val="22"/>
          <w:szCs w:val="22"/>
        </w:rPr>
        <w:t xml:space="preserve">MGC Director of Workforce, Supplier and Diversity Development Jill Griffin said, “The Commission works collaboratively with multiple stakeholders to ensure the gaming industry in Massachusetts is inclusive and provides opportunities that reflect the diversity of the Commonwealth.” Griffin added, “MGC will continue to </w:t>
      </w:r>
      <w:r>
        <w:rPr>
          <w:rFonts w:asciiTheme="majorHAnsi" w:eastAsia="Calibri" w:hAnsiTheme="majorHAnsi" w:cs="Times New Roman"/>
          <w:bCs/>
          <w:sz w:val="22"/>
          <w:szCs w:val="22"/>
        </w:rPr>
        <w:t>enthusiastically support initiatives</w:t>
      </w:r>
      <w:r w:rsidRPr="00955799">
        <w:rPr>
          <w:rFonts w:asciiTheme="majorHAnsi" w:eastAsia="Calibri" w:hAnsiTheme="majorHAnsi" w:cs="Times New Roman"/>
          <w:bCs/>
          <w:sz w:val="22"/>
          <w:szCs w:val="22"/>
        </w:rPr>
        <w:t xml:space="preserve"> that will maxi</w:t>
      </w:r>
      <w:r>
        <w:rPr>
          <w:rFonts w:asciiTheme="majorHAnsi" w:eastAsia="Calibri" w:hAnsiTheme="majorHAnsi" w:cs="Times New Roman"/>
          <w:bCs/>
          <w:sz w:val="22"/>
          <w:szCs w:val="22"/>
        </w:rPr>
        <w:t xml:space="preserve">mize economic benefits of expanded gaming </w:t>
      </w:r>
      <w:r w:rsidRPr="00955799">
        <w:rPr>
          <w:rFonts w:asciiTheme="majorHAnsi" w:eastAsia="Calibri" w:hAnsiTheme="majorHAnsi" w:cs="Times New Roman"/>
          <w:bCs/>
          <w:sz w:val="22"/>
          <w:szCs w:val="22"/>
        </w:rPr>
        <w:t>for all Massachusetts residents.”</w:t>
      </w:r>
    </w:p>
    <w:p w:rsidR="008502B2" w:rsidRPr="00200058" w:rsidRDefault="008502B2" w:rsidP="00D20CB0">
      <w:pPr>
        <w:jc w:val="both"/>
        <w:rPr>
          <w:rFonts w:asciiTheme="majorHAnsi" w:eastAsia="Calibri" w:hAnsiTheme="majorHAnsi" w:cs="Times New Roman"/>
          <w:bCs/>
          <w:sz w:val="22"/>
          <w:szCs w:val="22"/>
        </w:rPr>
      </w:pPr>
    </w:p>
    <w:p w:rsidR="008502B2" w:rsidRDefault="00474258" w:rsidP="00D20CB0">
      <w:pPr>
        <w:jc w:val="both"/>
        <w:rPr>
          <w:rFonts w:asciiTheme="majorHAnsi" w:eastAsia="Calibri" w:hAnsiTheme="majorHAnsi" w:cs="Times New Roman"/>
          <w:sz w:val="22"/>
          <w:szCs w:val="22"/>
        </w:rPr>
      </w:pPr>
      <w:r>
        <w:rPr>
          <w:rFonts w:asciiTheme="majorHAnsi" w:eastAsia="Calibri" w:hAnsiTheme="majorHAnsi" w:cs="Times New Roman"/>
          <w:sz w:val="22"/>
          <w:szCs w:val="22"/>
        </w:rPr>
        <w:t xml:space="preserve">MGC </w:t>
      </w:r>
      <w:r w:rsidR="00D20CB0" w:rsidRPr="00200058">
        <w:rPr>
          <w:rFonts w:asciiTheme="majorHAnsi" w:eastAsia="Calibri" w:hAnsiTheme="majorHAnsi" w:cs="Times New Roman"/>
          <w:sz w:val="22"/>
          <w:szCs w:val="22"/>
        </w:rPr>
        <w:t>requested grant applications to</w:t>
      </w:r>
      <w:r>
        <w:rPr>
          <w:rFonts w:asciiTheme="majorHAnsi" w:eastAsia="Calibri" w:hAnsiTheme="majorHAnsi" w:cs="Times New Roman"/>
          <w:sz w:val="22"/>
          <w:szCs w:val="22"/>
        </w:rPr>
        <w:t xml:space="preserve"> </w:t>
      </w:r>
      <w:r w:rsidRPr="00474258">
        <w:rPr>
          <w:rFonts w:asciiTheme="majorHAnsi" w:eastAsia="Calibri" w:hAnsiTheme="majorHAnsi" w:cs="Times New Roman"/>
          <w:sz w:val="22"/>
          <w:szCs w:val="22"/>
        </w:rPr>
        <w:t>inspire collaborative coalitions, partnerships, grassroots organizations and non-profits to aide in providing programs, outreach, and resources to achieve the following goals:</w:t>
      </w:r>
    </w:p>
    <w:p w:rsidR="00474258" w:rsidRDefault="00474258" w:rsidP="00D20CB0">
      <w:pPr>
        <w:jc w:val="both"/>
        <w:rPr>
          <w:rFonts w:asciiTheme="majorHAnsi" w:eastAsia="Calibri" w:hAnsiTheme="majorHAnsi" w:cs="Times New Roman"/>
          <w:sz w:val="22"/>
          <w:szCs w:val="22"/>
        </w:rPr>
      </w:pPr>
    </w:p>
    <w:p w:rsidR="00474258" w:rsidRPr="00474258" w:rsidRDefault="00474258" w:rsidP="00474258">
      <w:pPr>
        <w:numPr>
          <w:ilvl w:val="0"/>
          <w:numId w:val="11"/>
        </w:numPr>
        <w:jc w:val="both"/>
        <w:rPr>
          <w:rFonts w:asciiTheme="majorHAnsi" w:eastAsia="Calibri" w:hAnsiTheme="majorHAnsi" w:cs="Times New Roman"/>
          <w:sz w:val="22"/>
          <w:szCs w:val="22"/>
        </w:rPr>
      </w:pPr>
      <w:r w:rsidRPr="00474258">
        <w:rPr>
          <w:rFonts w:asciiTheme="majorHAnsi" w:eastAsia="Calibri" w:hAnsiTheme="majorHAnsi" w:cs="Times New Roman"/>
          <w:sz w:val="22"/>
          <w:szCs w:val="22"/>
        </w:rPr>
        <w:t>Promote awareness of job opportunities and assist with interview/skill preparation for potential job candidates within the Host and Surrounding Communities of one of the casino properties.</w:t>
      </w:r>
    </w:p>
    <w:p w:rsidR="00474258" w:rsidRPr="00474258" w:rsidRDefault="00474258" w:rsidP="00474258">
      <w:pPr>
        <w:numPr>
          <w:ilvl w:val="0"/>
          <w:numId w:val="11"/>
        </w:numPr>
        <w:jc w:val="both"/>
        <w:rPr>
          <w:rFonts w:asciiTheme="majorHAnsi" w:eastAsia="Calibri" w:hAnsiTheme="majorHAnsi" w:cs="Times New Roman"/>
          <w:sz w:val="22"/>
          <w:szCs w:val="22"/>
        </w:rPr>
      </w:pPr>
      <w:r w:rsidRPr="00474258">
        <w:rPr>
          <w:rFonts w:asciiTheme="majorHAnsi" w:eastAsia="Calibri" w:hAnsiTheme="majorHAnsi" w:cs="Times New Roman"/>
          <w:sz w:val="22"/>
          <w:szCs w:val="22"/>
        </w:rPr>
        <w:t xml:space="preserve">Remove road blocks for the unemployed, underemployed and/or candidates with employment challenges. </w:t>
      </w:r>
    </w:p>
    <w:p w:rsidR="00474258" w:rsidRPr="00474258" w:rsidRDefault="00474258" w:rsidP="00474258">
      <w:pPr>
        <w:numPr>
          <w:ilvl w:val="0"/>
          <w:numId w:val="11"/>
        </w:numPr>
        <w:jc w:val="both"/>
        <w:rPr>
          <w:rFonts w:asciiTheme="majorHAnsi" w:eastAsia="Calibri" w:hAnsiTheme="majorHAnsi" w:cs="Times New Roman"/>
          <w:sz w:val="22"/>
          <w:szCs w:val="22"/>
        </w:rPr>
      </w:pPr>
      <w:r w:rsidRPr="00474258">
        <w:rPr>
          <w:rFonts w:asciiTheme="majorHAnsi" w:eastAsia="Calibri" w:hAnsiTheme="majorHAnsi" w:cs="Times New Roman"/>
          <w:sz w:val="22"/>
          <w:szCs w:val="22"/>
        </w:rPr>
        <w:t>Increase net job gain via initiatives benefiting minorities, women and veterans.</w:t>
      </w:r>
    </w:p>
    <w:p w:rsidR="00474258" w:rsidRPr="00474258" w:rsidRDefault="00474258" w:rsidP="00474258">
      <w:pPr>
        <w:numPr>
          <w:ilvl w:val="0"/>
          <w:numId w:val="11"/>
        </w:numPr>
        <w:jc w:val="both"/>
        <w:rPr>
          <w:rFonts w:asciiTheme="majorHAnsi" w:eastAsia="Calibri" w:hAnsiTheme="majorHAnsi" w:cs="Times New Roman"/>
          <w:sz w:val="22"/>
          <w:szCs w:val="22"/>
        </w:rPr>
      </w:pPr>
      <w:r w:rsidRPr="00474258">
        <w:rPr>
          <w:rFonts w:asciiTheme="majorHAnsi" w:eastAsia="Calibri" w:hAnsiTheme="majorHAnsi" w:cs="Times New Roman"/>
          <w:sz w:val="22"/>
          <w:szCs w:val="22"/>
        </w:rPr>
        <w:t>Strategies for maximizing contracting opportunities for vendors/suppliers with the licensee</w:t>
      </w:r>
    </w:p>
    <w:p w:rsidR="008502B2" w:rsidRPr="00200058" w:rsidRDefault="008502B2" w:rsidP="008502B2">
      <w:pPr>
        <w:rPr>
          <w:rFonts w:asciiTheme="majorHAnsi" w:eastAsia="Calibri" w:hAnsiTheme="majorHAnsi" w:cs="Times New Roman"/>
          <w:sz w:val="22"/>
          <w:szCs w:val="22"/>
        </w:rPr>
      </w:pPr>
    </w:p>
    <w:p w:rsidR="00CD23C6" w:rsidRPr="00CD23C6" w:rsidRDefault="00D20CB0" w:rsidP="00CD23C6">
      <w:pPr>
        <w:rPr>
          <w:rFonts w:asciiTheme="majorHAnsi" w:eastAsia="Calibri" w:hAnsiTheme="majorHAnsi" w:cs="Times New Roman"/>
          <w:sz w:val="22"/>
          <w:szCs w:val="22"/>
        </w:rPr>
      </w:pPr>
      <w:r w:rsidRPr="00200058">
        <w:rPr>
          <w:rFonts w:asciiTheme="majorHAnsi" w:eastAsia="Calibri" w:hAnsiTheme="majorHAnsi" w:cs="Times New Roman"/>
          <w:bCs/>
          <w:sz w:val="22"/>
          <w:szCs w:val="22"/>
        </w:rPr>
        <w:t xml:space="preserve">MGC identified six recipients through a </w:t>
      </w:r>
      <w:r w:rsidR="008502B2" w:rsidRPr="00200058">
        <w:rPr>
          <w:rFonts w:asciiTheme="majorHAnsi" w:eastAsia="Calibri" w:hAnsiTheme="majorHAnsi" w:cs="Times New Roman"/>
          <w:bCs/>
          <w:sz w:val="22"/>
          <w:szCs w:val="22"/>
        </w:rPr>
        <w:t>competitive process</w:t>
      </w:r>
      <w:r w:rsidR="00AF7A7B">
        <w:rPr>
          <w:rFonts w:asciiTheme="majorHAnsi" w:eastAsia="Calibri" w:hAnsiTheme="majorHAnsi" w:cs="Times New Roman"/>
          <w:bCs/>
          <w:sz w:val="22"/>
          <w:szCs w:val="22"/>
        </w:rPr>
        <w:t>.</w:t>
      </w:r>
      <w:r w:rsidR="008502B2" w:rsidRPr="00200058">
        <w:rPr>
          <w:rFonts w:asciiTheme="majorHAnsi" w:eastAsia="Calibri" w:hAnsiTheme="majorHAnsi" w:cs="Times New Roman"/>
          <w:sz w:val="22"/>
          <w:szCs w:val="22"/>
        </w:rPr>
        <w:t xml:space="preserve"> </w:t>
      </w:r>
      <w:r w:rsidR="00CD23C6" w:rsidRPr="00CD23C6">
        <w:rPr>
          <w:rFonts w:asciiTheme="majorHAnsi" w:eastAsia="Calibri" w:hAnsiTheme="majorHAnsi" w:cs="Times New Roman"/>
          <w:bCs/>
          <w:sz w:val="22"/>
          <w:szCs w:val="22"/>
        </w:rPr>
        <w:t>The grants must be</w:t>
      </w:r>
      <w:r w:rsidR="00CD23C6" w:rsidRPr="00CD23C6">
        <w:rPr>
          <w:rFonts w:asciiTheme="majorHAnsi" w:eastAsia="Calibri" w:hAnsiTheme="majorHAnsi" w:cs="Times New Roman"/>
          <w:b/>
          <w:bCs/>
          <w:sz w:val="22"/>
          <w:szCs w:val="22"/>
        </w:rPr>
        <w:t xml:space="preserve"> </w:t>
      </w:r>
      <w:r w:rsidR="00CD23C6" w:rsidRPr="00CD23C6">
        <w:rPr>
          <w:rFonts w:asciiTheme="majorHAnsi" w:eastAsia="Calibri" w:hAnsiTheme="majorHAnsi" w:cs="Times New Roman"/>
          <w:sz w:val="22"/>
          <w:szCs w:val="22"/>
        </w:rPr>
        <w:t>used or designated this fiscal year ending June 30, 201</w:t>
      </w:r>
      <w:r w:rsidR="00CD23C6">
        <w:rPr>
          <w:rFonts w:asciiTheme="majorHAnsi" w:eastAsia="Calibri" w:hAnsiTheme="majorHAnsi" w:cs="Times New Roman"/>
          <w:sz w:val="22"/>
          <w:szCs w:val="22"/>
        </w:rPr>
        <w:t>8</w:t>
      </w:r>
      <w:r w:rsidR="00CD23C6" w:rsidRPr="00CD23C6">
        <w:rPr>
          <w:rFonts w:asciiTheme="majorHAnsi" w:eastAsia="Calibri" w:hAnsiTheme="majorHAnsi" w:cs="Times New Roman"/>
          <w:sz w:val="22"/>
          <w:szCs w:val="22"/>
        </w:rPr>
        <w:t xml:space="preserve"> with the potential of refunding next fiscal year based on budget availability and performance.  </w:t>
      </w:r>
    </w:p>
    <w:p w:rsidR="00200058" w:rsidRDefault="00200058" w:rsidP="00D20CB0">
      <w:pPr>
        <w:rPr>
          <w:rFonts w:asciiTheme="majorHAnsi" w:hAnsiTheme="majorHAnsi"/>
          <w:b/>
          <w:iCs/>
          <w:sz w:val="22"/>
          <w:szCs w:val="22"/>
        </w:rPr>
      </w:pPr>
    </w:p>
    <w:p w:rsidR="00D20CB0" w:rsidRDefault="00AF7A7B" w:rsidP="00D20CB0">
      <w:pPr>
        <w:rPr>
          <w:rFonts w:asciiTheme="majorHAnsi" w:hAnsiTheme="majorHAnsi"/>
          <w:b/>
          <w:iCs/>
          <w:sz w:val="22"/>
          <w:szCs w:val="22"/>
        </w:rPr>
      </w:pPr>
      <w:r>
        <w:rPr>
          <w:rFonts w:asciiTheme="majorHAnsi" w:hAnsiTheme="majorHAnsi"/>
          <w:b/>
          <w:iCs/>
          <w:sz w:val="22"/>
          <w:szCs w:val="22"/>
        </w:rPr>
        <w:t xml:space="preserve">Here is a list of the approved grant recipients listed by region of focus: </w:t>
      </w:r>
    </w:p>
    <w:p w:rsidR="00AF7A7B" w:rsidRPr="00200058" w:rsidRDefault="00AF7A7B" w:rsidP="00D20CB0">
      <w:pPr>
        <w:rPr>
          <w:rFonts w:asciiTheme="majorHAnsi" w:hAnsiTheme="majorHAnsi"/>
          <w:b/>
          <w:iCs/>
          <w:sz w:val="22"/>
          <w:szCs w:val="22"/>
        </w:rPr>
      </w:pPr>
    </w:p>
    <w:p w:rsidR="00D20CB0" w:rsidRPr="00586C62" w:rsidRDefault="00D20CB0" w:rsidP="00D20CB0">
      <w:pPr>
        <w:rPr>
          <w:rFonts w:asciiTheme="majorHAnsi" w:hAnsiTheme="majorHAnsi"/>
          <w:b/>
          <w:iCs/>
          <w:sz w:val="20"/>
          <w:szCs w:val="20"/>
        </w:rPr>
      </w:pPr>
      <w:r w:rsidRPr="00586C62">
        <w:rPr>
          <w:rFonts w:asciiTheme="majorHAnsi" w:hAnsiTheme="majorHAnsi"/>
          <w:b/>
          <w:iCs/>
          <w:sz w:val="20"/>
          <w:szCs w:val="20"/>
        </w:rPr>
        <w:t>Western MA</w:t>
      </w:r>
    </w:p>
    <w:p w:rsidR="00474258" w:rsidRPr="003F4269" w:rsidRDefault="00474258" w:rsidP="00116290">
      <w:pPr>
        <w:numPr>
          <w:ilvl w:val="0"/>
          <w:numId w:val="9"/>
        </w:numPr>
        <w:rPr>
          <w:rFonts w:asciiTheme="majorHAnsi" w:hAnsiTheme="majorHAnsi"/>
          <w:iCs/>
          <w:sz w:val="20"/>
          <w:szCs w:val="20"/>
        </w:rPr>
      </w:pPr>
      <w:r w:rsidRPr="003F4269">
        <w:rPr>
          <w:rFonts w:asciiTheme="majorHAnsi" w:hAnsiTheme="majorHAnsi"/>
          <w:b/>
          <w:iCs/>
          <w:sz w:val="20"/>
          <w:szCs w:val="20"/>
        </w:rPr>
        <w:t xml:space="preserve">Hampden County Sheriff Department </w:t>
      </w:r>
      <w:r w:rsidRPr="003F4269">
        <w:rPr>
          <w:rFonts w:asciiTheme="majorHAnsi" w:hAnsiTheme="majorHAnsi"/>
          <w:iCs/>
          <w:sz w:val="20"/>
          <w:szCs w:val="20"/>
        </w:rPr>
        <w:t xml:space="preserve">received a grant of $12, 715.99.  The Sheriff’s Department </w:t>
      </w:r>
      <w:r w:rsidR="00586C62" w:rsidRPr="003F4269">
        <w:rPr>
          <w:rFonts w:asciiTheme="majorHAnsi" w:hAnsiTheme="majorHAnsi"/>
          <w:iCs/>
          <w:sz w:val="20"/>
          <w:szCs w:val="20"/>
        </w:rPr>
        <w:t>received</w:t>
      </w:r>
      <w:r w:rsidRPr="003F4269">
        <w:rPr>
          <w:rFonts w:asciiTheme="majorHAnsi" w:hAnsiTheme="majorHAnsi"/>
          <w:iCs/>
          <w:sz w:val="20"/>
          <w:szCs w:val="20"/>
        </w:rPr>
        <w:t xml:space="preserve"> funding to train current custodial inmates and recently released population for certification in the Customer Service Gold program from the American Hotel and Lodging Educational Institute. ESOL and adult education will be offered for students in the program, as well. Additionally, education will be provided on MGM’s SkillSmart software, and the available opportunities with the</w:t>
      </w:r>
      <w:r w:rsidR="00586C62" w:rsidRPr="003F4269">
        <w:rPr>
          <w:rFonts w:asciiTheme="majorHAnsi" w:hAnsiTheme="majorHAnsi"/>
          <w:iCs/>
          <w:sz w:val="20"/>
          <w:szCs w:val="20"/>
        </w:rPr>
        <w:t xml:space="preserve"> casino. </w:t>
      </w:r>
      <w:r w:rsidR="00586C62" w:rsidRPr="003F4269">
        <w:rPr>
          <w:rFonts w:asciiTheme="majorHAnsi" w:hAnsiTheme="majorHAnsi"/>
          <w:iCs/>
          <w:sz w:val="20"/>
          <w:szCs w:val="20"/>
        </w:rPr>
        <w:lastRenderedPageBreak/>
        <w:t xml:space="preserve">Students will </w:t>
      </w:r>
      <w:r w:rsidRPr="003F4269">
        <w:rPr>
          <w:rFonts w:asciiTheme="majorHAnsi" w:hAnsiTheme="majorHAnsi"/>
          <w:iCs/>
          <w:sz w:val="20"/>
          <w:szCs w:val="20"/>
        </w:rPr>
        <w:t xml:space="preserve">receive instruction on how to seal their criminal record to increase eligibility for employment. </w:t>
      </w:r>
    </w:p>
    <w:p w:rsidR="00D20CB0" w:rsidRPr="00007ECE" w:rsidRDefault="00474258" w:rsidP="00D20CB0">
      <w:pPr>
        <w:numPr>
          <w:ilvl w:val="0"/>
          <w:numId w:val="9"/>
        </w:numPr>
        <w:rPr>
          <w:rFonts w:asciiTheme="majorHAnsi" w:hAnsiTheme="majorHAnsi"/>
          <w:iCs/>
          <w:sz w:val="20"/>
          <w:szCs w:val="20"/>
        </w:rPr>
      </w:pPr>
      <w:r w:rsidRPr="00586C62">
        <w:rPr>
          <w:rFonts w:asciiTheme="majorHAnsi" w:hAnsiTheme="majorHAnsi"/>
          <w:b/>
          <w:iCs/>
          <w:sz w:val="20"/>
          <w:szCs w:val="20"/>
        </w:rPr>
        <w:t>Quaboag Valley Community Development Corporation</w:t>
      </w:r>
      <w:r w:rsidRPr="00586C62">
        <w:rPr>
          <w:rFonts w:asciiTheme="majorHAnsi" w:hAnsiTheme="majorHAnsi"/>
          <w:iCs/>
          <w:sz w:val="20"/>
          <w:szCs w:val="20"/>
        </w:rPr>
        <w:t xml:space="preserve"> received a grant of $7,722.00. The QVCDC grant will support both business vendor opportunities, as well as workforce development efforts. Through direct network outreach, advertising (such as on the Quaboag Connector vehicles) and their connections within the local community, they will promote awareness of opportunities</w:t>
      </w:r>
      <w:r w:rsidR="00586C62">
        <w:rPr>
          <w:rFonts w:asciiTheme="majorHAnsi" w:hAnsiTheme="majorHAnsi"/>
          <w:iCs/>
          <w:sz w:val="20"/>
          <w:szCs w:val="20"/>
        </w:rPr>
        <w:t xml:space="preserve"> for potential vendors and job seekers</w:t>
      </w:r>
      <w:r w:rsidRPr="00586C62">
        <w:rPr>
          <w:rFonts w:asciiTheme="majorHAnsi" w:hAnsiTheme="majorHAnsi"/>
          <w:iCs/>
          <w:sz w:val="20"/>
          <w:szCs w:val="20"/>
        </w:rPr>
        <w:t xml:space="preserve">. Additionally, they will offer </w:t>
      </w:r>
      <w:r w:rsidR="00586C62">
        <w:rPr>
          <w:rFonts w:asciiTheme="majorHAnsi" w:hAnsiTheme="majorHAnsi"/>
          <w:iCs/>
          <w:sz w:val="20"/>
          <w:szCs w:val="20"/>
        </w:rPr>
        <w:t xml:space="preserve">courses in </w:t>
      </w:r>
      <w:r w:rsidRPr="00586C62">
        <w:rPr>
          <w:rFonts w:asciiTheme="majorHAnsi" w:hAnsiTheme="majorHAnsi"/>
          <w:iCs/>
          <w:sz w:val="20"/>
          <w:szCs w:val="20"/>
        </w:rPr>
        <w:t xml:space="preserve">ServSafe and Job Readiness Skills for under and unemployed job seekers aspiring to work with MGM Springfield. To remove road blocks for those interested in the courses and opportunities at MGM, QVCDC will purchase travel vouchers for the Quaboag Connector to ensure dependable transportation. </w:t>
      </w:r>
    </w:p>
    <w:p w:rsidR="00D20CB0" w:rsidRPr="00586C62" w:rsidRDefault="00D20CB0" w:rsidP="00D20CB0">
      <w:pPr>
        <w:rPr>
          <w:rFonts w:asciiTheme="majorHAnsi" w:hAnsiTheme="majorHAnsi"/>
          <w:b/>
          <w:iCs/>
          <w:sz w:val="20"/>
          <w:szCs w:val="20"/>
        </w:rPr>
      </w:pPr>
      <w:r w:rsidRPr="00586C62">
        <w:rPr>
          <w:rFonts w:asciiTheme="majorHAnsi" w:hAnsiTheme="majorHAnsi"/>
          <w:b/>
          <w:iCs/>
          <w:sz w:val="20"/>
          <w:szCs w:val="20"/>
        </w:rPr>
        <w:t>Eastern MA</w:t>
      </w:r>
    </w:p>
    <w:p w:rsidR="00586C62" w:rsidRPr="00116290" w:rsidRDefault="00586C62" w:rsidP="00116290">
      <w:pPr>
        <w:pStyle w:val="ListParagraph"/>
        <w:numPr>
          <w:ilvl w:val="0"/>
          <w:numId w:val="13"/>
        </w:numPr>
        <w:rPr>
          <w:rFonts w:asciiTheme="majorHAnsi" w:hAnsiTheme="majorHAnsi"/>
          <w:iCs/>
          <w:sz w:val="20"/>
          <w:szCs w:val="20"/>
        </w:rPr>
      </w:pPr>
      <w:r w:rsidRPr="00586C62">
        <w:rPr>
          <w:rFonts w:asciiTheme="majorHAnsi" w:hAnsiTheme="majorHAnsi"/>
          <w:b/>
          <w:iCs/>
          <w:sz w:val="20"/>
          <w:szCs w:val="20"/>
        </w:rPr>
        <w:t xml:space="preserve">Asian American Civic Association </w:t>
      </w:r>
      <w:r w:rsidRPr="00586C62">
        <w:rPr>
          <w:rFonts w:asciiTheme="majorHAnsi" w:hAnsiTheme="majorHAnsi"/>
          <w:iCs/>
          <w:sz w:val="20"/>
          <w:szCs w:val="20"/>
        </w:rPr>
        <w:t xml:space="preserve">received a grant of $15,000. The AACA will offer program enhancements that increase minority access to the casino industry, working with members of the Asian American, immigrant and economically disadvantaged populations in Greater Boston to </w:t>
      </w:r>
      <w:r>
        <w:rPr>
          <w:rFonts w:asciiTheme="majorHAnsi" w:hAnsiTheme="majorHAnsi"/>
          <w:iCs/>
          <w:sz w:val="20"/>
          <w:szCs w:val="20"/>
        </w:rPr>
        <w:t>raise</w:t>
      </w:r>
      <w:r w:rsidRPr="00586C62">
        <w:rPr>
          <w:rFonts w:asciiTheme="majorHAnsi" w:hAnsiTheme="majorHAnsi"/>
          <w:iCs/>
          <w:sz w:val="20"/>
          <w:szCs w:val="20"/>
        </w:rPr>
        <w:t xml:space="preserve"> awareness of job opportunities, and increased placement success. The organization will do this through </w:t>
      </w:r>
      <w:r w:rsidR="00F30A52">
        <w:rPr>
          <w:rFonts w:asciiTheme="majorHAnsi" w:hAnsiTheme="majorHAnsi"/>
          <w:iCs/>
          <w:sz w:val="20"/>
          <w:szCs w:val="20"/>
        </w:rPr>
        <w:t xml:space="preserve">the </w:t>
      </w:r>
      <w:r w:rsidRPr="00586C62">
        <w:rPr>
          <w:rFonts w:asciiTheme="majorHAnsi" w:hAnsiTheme="majorHAnsi"/>
          <w:iCs/>
          <w:sz w:val="20"/>
          <w:szCs w:val="20"/>
        </w:rPr>
        <w:t xml:space="preserve">direct preparation of interested candidates via pre-screening resumes and qualifications and offering mock interviews; as well as referrals to English language courses and social service and benefits programs (such as housing assistance and child care services.) </w:t>
      </w:r>
    </w:p>
    <w:p w:rsidR="00586C62" w:rsidRPr="00116290" w:rsidRDefault="00586C62" w:rsidP="00116290">
      <w:pPr>
        <w:pStyle w:val="ListParagraph"/>
        <w:numPr>
          <w:ilvl w:val="0"/>
          <w:numId w:val="13"/>
        </w:numPr>
        <w:rPr>
          <w:rFonts w:asciiTheme="majorHAnsi" w:hAnsiTheme="majorHAnsi"/>
          <w:iCs/>
          <w:sz w:val="20"/>
          <w:szCs w:val="20"/>
        </w:rPr>
      </w:pPr>
      <w:r w:rsidRPr="00586C62">
        <w:rPr>
          <w:rFonts w:asciiTheme="majorHAnsi" w:hAnsiTheme="majorHAnsi"/>
          <w:b/>
          <w:iCs/>
          <w:sz w:val="20"/>
          <w:szCs w:val="20"/>
        </w:rPr>
        <w:t xml:space="preserve">BEST Hospitality Training </w:t>
      </w:r>
      <w:r w:rsidRPr="00586C62">
        <w:rPr>
          <w:rFonts w:asciiTheme="majorHAnsi" w:hAnsiTheme="majorHAnsi"/>
          <w:iCs/>
          <w:sz w:val="20"/>
          <w:szCs w:val="20"/>
        </w:rPr>
        <w:t>received a grant of $15, 000.</w:t>
      </w:r>
      <w:r w:rsidRPr="00586C62">
        <w:rPr>
          <w:rFonts w:asciiTheme="majorHAnsi" w:hAnsiTheme="majorHAnsi"/>
          <w:b/>
          <w:iCs/>
          <w:sz w:val="20"/>
          <w:szCs w:val="20"/>
        </w:rPr>
        <w:t xml:space="preserve"> </w:t>
      </w:r>
      <w:r w:rsidRPr="00586C62">
        <w:rPr>
          <w:rFonts w:asciiTheme="majorHAnsi" w:hAnsiTheme="majorHAnsi"/>
          <w:iCs/>
          <w:sz w:val="20"/>
          <w:szCs w:val="20"/>
        </w:rPr>
        <w:t xml:space="preserve">With the grant funds provided, BEST will </w:t>
      </w:r>
      <w:r>
        <w:rPr>
          <w:rFonts w:asciiTheme="majorHAnsi" w:hAnsiTheme="majorHAnsi"/>
          <w:iCs/>
          <w:sz w:val="20"/>
          <w:szCs w:val="20"/>
        </w:rPr>
        <w:t>create</w:t>
      </w:r>
      <w:r w:rsidRPr="00586C62">
        <w:rPr>
          <w:rFonts w:asciiTheme="majorHAnsi" w:hAnsiTheme="majorHAnsi"/>
          <w:iCs/>
          <w:sz w:val="20"/>
          <w:szCs w:val="20"/>
        </w:rPr>
        <w:t xml:space="preserve"> a hospitality training pipeline focused on casino careers</w:t>
      </w:r>
      <w:r w:rsidR="00FF4559">
        <w:rPr>
          <w:rFonts w:asciiTheme="majorHAnsi" w:hAnsiTheme="majorHAnsi"/>
          <w:iCs/>
          <w:sz w:val="20"/>
          <w:szCs w:val="20"/>
        </w:rPr>
        <w:t>. BEST will accomplish its goals</w:t>
      </w:r>
      <w:r w:rsidRPr="00586C62">
        <w:rPr>
          <w:rFonts w:asciiTheme="majorHAnsi" w:hAnsiTheme="majorHAnsi"/>
          <w:iCs/>
          <w:sz w:val="20"/>
          <w:szCs w:val="20"/>
        </w:rPr>
        <w:t xml:space="preserve"> by meeting with industry stakeholders in the Boston area to develop a marketing strategy, </w:t>
      </w:r>
      <w:r w:rsidR="00FF4559">
        <w:rPr>
          <w:rFonts w:asciiTheme="majorHAnsi" w:hAnsiTheme="majorHAnsi"/>
          <w:iCs/>
          <w:sz w:val="20"/>
          <w:szCs w:val="20"/>
        </w:rPr>
        <w:t xml:space="preserve">holding </w:t>
      </w:r>
      <w:r w:rsidRPr="00586C62">
        <w:rPr>
          <w:rFonts w:asciiTheme="majorHAnsi" w:hAnsiTheme="majorHAnsi"/>
          <w:iCs/>
          <w:sz w:val="20"/>
          <w:szCs w:val="20"/>
        </w:rPr>
        <w:t xml:space="preserve">informational sessions for diverse candidates looking to enter the hospitality industry, determining a qualified community organization to offer BEST’s English for Hospitality curriculum and identifying a local partner to host the Wynn Model Hotel Guest Room in the Everett area for training purposes. </w:t>
      </w:r>
    </w:p>
    <w:p w:rsidR="00D20CB0" w:rsidRPr="00007ECE" w:rsidRDefault="00586C62" w:rsidP="00D20CB0">
      <w:pPr>
        <w:pStyle w:val="ListParagraph"/>
        <w:numPr>
          <w:ilvl w:val="0"/>
          <w:numId w:val="13"/>
        </w:numPr>
        <w:rPr>
          <w:rFonts w:asciiTheme="majorHAnsi" w:hAnsiTheme="majorHAnsi"/>
          <w:iCs/>
          <w:sz w:val="20"/>
          <w:szCs w:val="20"/>
        </w:rPr>
      </w:pPr>
      <w:r w:rsidRPr="00586C62">
        <w:rPr>
          <w:rFonts w:asciiTheme="majorHAnsi" w:hAnsiTheme="majorHAnsi"/>
          <w:b/>
          <w:iCs/>
          <w:sz w:val="20"/>
          <w:szCs w:val="20"/>
        </w:rPr>
        <w:t xml:space="preserve">Chelsea Collaborative and La Comunidad </w:t>
      </w:r>
      <w:r w:rsidRPr="00586C62">
        <w:rPr>
          <w:rFonts w:asciiTheme="majorHAnsi" w:hAnsiTheme="majorHAnsi"/>
          <w:iCs/>
          <w:sz w:val="20"/>
          <w:szCs w:val="20"/>
        </w:rPr>
        <w:t xml:space="preserve">received a grant of $12,260.  The Chelsea Collaborative and La Comunidad will collaborate to support a workforce pipeline initiative to bridge the unemployment and income gap for Chelsea and Everett-area residents. Their grant-funded work will consist of expansion of adult education (ESL and computer proficiency courses,) individualized career development case management (including industry “fit” assessment and application completion,) and creation of a data-tracking pipeline for continued follow-up with interested residents. </w:t>
      </w:r>
    </w:p>
    <w:p w:rsidR="00D20CB0" w:rsidRPr="00586C62" w:rsidRDefault="00D20CB0" w:rsidP="00D20CB0">
      <w:pPr>
        <w:rPr>
          <w:rFonts w:asciiTheme="majorHAnsi" w:hAnsiTheme="majorHAnsi"/>
          <w:b/>
          <w:iCs/>
          <w:sz w:val="20"/>
          <w:szCs w:val="20"/>
        </w:rPr>
      </w:pPr>
      <w:r w:rsidRPr="00586C62">
        <w:rPr>
          <w:rFonts w:asciiTheme="majorHAnsi" w:hAnsiTheme="majorHAnsi"/>
          <w:b/>
          <w:iCs/>
          <w:sz w:val="20"/>
          <w:szCs w:val="20"/>
        </w:rPr>
        <w:t>Statewide</w:t>
      </w:r>
    </w:p>
    <w:p w:rsidR="00D20CB0" w:rsidRDefault="00586C62" w:rsidP="008064F0">
      <w:pPr>
        <w:pStyle w:val="ListParagraph"/>
        <w:numPr>
          <w:ilvl w:val="0"/>
          <w:numId w:val="12"/>
        </w:numPr>
        <w:rPr>
          <w:rFonts w:asciiTheme="majorHAnsi" w:hAnsiTheme="majorHAnsi"/>
          <w:iCs/>
          <w:sz w:val="20"/>
          <w:szCs w:val="20"/>
        </w:rPr>
      </w:pPr>
      <w:r w:rsidRPr="00586C62">
        <w:rPr>
          <w:rFonts w:asciiTheme="majorHAnsi" w:hAnsiTheme="majorHAnsi"/>
          <w:b/>
          <w:iCs/>
          <w:sz w:val="20"/>
          <w:szCs w:val="20"/>
        </w:rPr>
        <w:t>Hispanic American Institute</w:t>
      </w:r>
      <w:r w:rsidRPr="00586C62">
        <w:rPr>
          <w:rFonts w:asciiTheme="majorHAnsi" w:hAnsiTheme="majorHAnsi"/>
          <w:iCs/>
          <w:sz w:val="20"/>
          <w:szCs w:val="20"/>
        </w:rPr>
        <w:t xml:space="preserve"> received a grant from $12,000. The funding provided to the HAI will support the development of local resource partners for the casinos, awareness of vendor opportunities and technical assistance for minority-owned businesses. These goals will be obtained via workshops, networking events and educational forums including three breakfast forums in collaboration with Chelsea Chamber of Commerce, North Shore Latino Business Association and La Comunidad, Inc., and the ongoing Quarterly Small Business Breakfast at Wynn Boston Harbor. The grant also allows for marketing and social media promotion, as well as planning for events and expanding partnerships in Western MA. </w:t>
      </w:r>
    </w:p>
    <w:p w:rsidR="00007ECE" w:rsidRDefault="00007ECE" w:rsidP="00007ECE">
      <w:pPr>
        <w:rPr>
          <w:rFonts w:asciiTheme="majorHAnsi" w:hAnsiTheme="majorHAnsi"/>
          <w:sz w:val="20"/>
          <w:szCs w:val="20"/>
        </w:rPr>
      </w:pPr>
    </w:p>
    <w:p w:rsidR="00007ECE" w:rsidRPr="00007ECE" w:rsidRDefault="00007ECE" w:rsidP="00007ECE">
      <w:pPr>
        <w:rPr>
          <w:rFonts w:asciiTheme="majorHAnsi" w:hAnsiTheme="majorHAnsi"/>
          <w:b/>
          <w:bCs/>
          <w:sz w:val="18"/>
          <w:szCs w:val="18"/>
        </w:rPr>
      </w:pPr>
      <w:r w:rsidRPr="00007ECE">
        <w:rPr>
          <w:rFonts w:asciiTheme="majorHAnsi" w:hAnsiTheme="majorHAnsi"/>
          <w:b/>
          <w:bCs/>
          <w:sz w:val="18"/>
          <w:szCs w:val="18"/>
        </w:rPr>
        <w:t xml:space="preserve">About </w:t>
      </w:r>
      <w:proofErr w:type="spellStart"/>
      <w:r w:rsidRPr="00007ECE">
        <w:rPr>
          <w:rFonts w:asciiTheme="majorHAnsi" w:hAnsiTheme="majorHAnsi"/>
          <w:b/>
          <w:bCs/>
          <w:sz w:val="18"/>
          <w:szCs w:val="18"/>
        </w:rPr>
        <w:t>MassGaming</w:t>
      </w:r>
      <w:proofErr w:type="spellEnd"/>
    </w:p>
    <w:p w:rsidR="00007ECE" w:rsidRPr="00CD23C6" w:rsidRDefault="00007ECE" w:rsidP="00007ECE">
      <w:pPr>
        <w:rPr>
          <w:rFonts w:asciiTheme="majorHAnsi" w:hAnsiTheme="majorHAnsi"/>
          <w:sz w:val="18"/>
          <w:szCs w:val="18"/>
        </w:rPr>
      </w:pPr>
      <w:r w:rsidRPr="00007ECE">
        <w:rPr>
          <w:rFonts w:asciiTheme="majorHAnsi" w:hAnsiTheme="majorHAnsi"/>
          <w:bCs/>
          <w:sz w:val="18"/>
          <w:szCs w:val="18"/>
        </w:rPr>
        <w:t>The mission of the Massachusetts Gaming Commission is to create a fair, transparent, and participatory process for implementing the expanded gaming law passed by the Legislature and signed b</w:t>
      </w:r>
      <w:r w:rsidR="00F30A52">
        <w:rPr>
          <w:rFonts w:asciiTheme="majorHAnsi" w:hAnsiTheme="majorHAnsi"/>
          <w:bCs/>
          <w:sz w:val="18"/>
          <w:szCs w:val="18"/>
        </w:rPr>
        <w:t xml:space="preserve">y the Governor in November </w:t>
      </w:r>
      <w:bookmarkStart w:id="0" w:name="_GoBack"/>
      <w:bookmarkEnd w:id="0"/>
      <w:r w:rsidRPr="00007ECE">
        <w:rPr>
          <w:rFonts w:asciiTheme="majorHAnsi" w:hAnsiTheme="majorHAnsi"/>
          <w:bCs/>
          <w:sz w:val="18"/>
          <w:szCs w:val="18"/>
        </w:rPr>
        <w:t xml:space="preserve">2011. In creating that process, the Commission will strive to ensure that its decision-making and regulatory systems engender the confidence of the public and participants, and that they provide the greatest possible economic development benefits and revenues to the people of the Commonwealth, reduce to the maximum extent possible the potentially negative or </w:t>
      </w:r>
      <w:r w:rsidRPr="00007ECE">
        <w:rPr>
          <w:rFonts w:asciiTheme="majorHAnsi" w:hAnsiTheme="majorHAnsi"/>
          <w:bCs/>
          <w:sz w:val="18"/>
          <w:szCs w:val="18"/>
        </w:rPr>
        <w:lastRenderedPageBreak/>
        <w:t xml:space="preserve">unintended consequences of the new legislation, and allow an appropriate return on investment for gaming providers that assures the operation of casino-resorts of the highest quality. For more information on MGC, please visit </w:t>
      </w:r>
      <w:hyperlink r:id="rId9" w:history="1">
        <w:r w:rsidRPr="00007ECE">
          <w:rPr>
            <w:rStyle w:val="Hyperlink"/>
            <w:rFonts w:asciiTheme="majorHAnsi" w:hAnsiTheme="majorHAnsi"/>
            <w:bCs/>
            <w:sz w:val="18"/>
            <w:szCs w:val="18"/>
          </w:rPr>
          <w:t>MassGaming.com</w:t>
        </w:r>
      </w:hyperlink>
      <w:r w:rsidRPr="00007ECE">
        <w:rPr>
          <w:rFonts w:asciiTheme="majorHAnsi" w:hAnsiTheme="majorHAnsi"/>
          <w:bCs/>
          <w:sz w:val="18"/>
          <w:szCs w:val="18"/>
        </w:rPr>
        <w:t xml:space="preserve"> or connect and share on Twitter (</w:t>
      </w:r>
      <w:hyperlink r:id="rId10" w:history="1">
        <w:r w:rsidRPr="00007ECE">
          <w:rPr>
            <w:rStyle w:val="Hyperlink"/>
            <w:rFonts w:asciiTheme="majorHAnsi" w:hAnsiTheme="majorHAnsi"/>
            <w:bCs/>
            <w:sz w:val="18"/>
            <w:szCs w:val="18"/>
          </w:rPr>
          <w:t>@MassGamingComm</w:t>
        </w:r>
      </w:hyperlink>
      <w:r w:rsidRPr="00007ECE">
        <w:rPr>
          <w:rFonts w:asciiTheme="majorHAnsi" w:hAnsiTheme="majorHAnsi"/>
          <w:bCs/>
          <w:sz w:val="18"/>
          <w:szCs w:val="18"/>
        </w:rPr>
        <w:t xml:space="preserve">) or Facebook </w:t>
      </w:r>
      <w:hyperlink r:id="rId11" w:history="1">
        <w:r w:rsidRPr="00007ECE">
          <w:rPr>
            <w:rStyle w:val="Hyperlink"/>
            <w:rFonts w:asciiTheme="majorHAnsi" w:hAnsiTheme="majorHAnsi"/>
            <w:bCs/>
            <w:sz w:val="18"/>
            <w:szCs w:val="18"/>
          </w:rPr>
          <w:t>www.facebook.com/MAGamingComm</w:t>
        </w:r>
      </w:hyperlink>
      <w:r w:rsidRPr="00007ECE">
        <w:rPr>
          <w:rFonts w:asciiTheme="majorHAnsi" w:hAnsiTheme="majorHAnsi"/>
          <w:bCs/>
          <w:sz w:val="18"/>
          <w:szCs w:val="18"/>
          <w:u w:val="single"/>
        </w:rPr>
        <w:t>.</w:t>
      </w:r>
    </w:p>
    <w:sectPr w:rsidR="00007ECE" w:rsidRPr="00CD23C6" w:rsidSect="00492821">
      <w:headerReference w:type="default" r:id="rId12"/>
      <w:footerReference w:type="default" r:id="rId13"/>
      <w:headerReference w:type="first" r:id="rId14"/>
      <w:footerReference w:type="first" r:id="rId15"/>
      <w:pgSz w:w="12240" w:h="15840"/>
      <w:pgMar w:top="2364" w:right="1440" w:bottom="1440" w:left="1440" w:header="0" w:footer="6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4F" w:rsidRDefault="008E154F" w:rsidP="00F54F26">
      <w:r>
        <w:separator/>
      </w:r>
    </w:p>
  </w:endnote>
  <w:endnote w:type="continuationSeparator" w:id="0">
    <w:p w:rsidR="008E154F" w:rsidRDefault="008E154F" w:rsidP="00F5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26" w:rsidRDefault="00415611" w:rsidP="00F54F26">
    <w:pPr>
      <w:pStyle w:val="Footer"/>
      <w:tabs>
        <w:tab w:val="clear" w:pos="4680"/>
      </w:tabs>
      <w:jc w:val="center"/>
      <w:rPr>
        <w:noProof/>
      </w:rPr>
    </w:pPr>
    <w:r>
      <w:rPr>
        <w:noProof/>
      </w:rPr>
      <w:drawing>
        <wp:anchor distT="0" distB="0" distL="114300" distR="114300" simplePos="0" relativeHeight="251662336" behindDoc="1" locked="0" layoutInCell="0" allowOverlap="0" wp14:anchorId="2CBA026E" wp14:editId="76FBF7BF">
          <wp:simplePos x="0" y="0"/>
          <wp:positionH relativeFrom="page">
            <wp:posOffset>2540</wp:posOffset>
          </wp:positionH>
          <wp:positionV relativeFrom="page">
            <wp:posOffset>7199630</wp:posOffset>
          </wp:positionV>
          <wp:extent cx="7855720" cy="3196598"/>
          <wp:effectExtent l="0" t="0" r="0" b="381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 Foote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55720" cy="3196598"/>
                  </a:xfrm>
                  <a:prstGeom prst="rect">
                    <a:avLst/>
                  </a:prstGeom>
                </pic:spPr>
              </pic:pic>
            </a:graphicData>
          </a:graphic>
          <wp14:sizeRelH relativeFrom="margin">
            <wp14:pctWidth>0</wp14:pctWidth>
          </wp14:sizeRelH>
          <wp14:sizeRelV relativeFrom="margin">
            <wp14:pctHeight>0</wp14:pctHeight>
          </wp14:sizeRelV>
        </wp:anchor>
      </w:drawing>
    </w:r>
  </w:p>
  <w:p w:rsidR="00F54F26" w:rsidRDefault="00F54F26" w:rsidP="00F54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C71" w:rsidRDefault="00952C71" w:rsidP="005C792D">
    <w:pPr>
      <w:pStyle w:val="Footer"/>
      <w:tabs>
        <w:tab w:val="clear" w:pos="4680"/>
      </w:tabs>
    </w:pPr>
    <w:r>
      <w:rPr>
        <w:noProof/>
      </w:rPr>
      <w:drawing>
        <wp:anchor distT="0" distB="0" distL="114300" distR="114300" simplePos="0" relativeHeight="251660288" behindDoc="1" locked="0" layoutInCell="0" allowOverlap="0" wp14:anchorId="12FDA390" wp14:editId="27787EF1">
          <wp:simplePos x="0" y="0"/>
          <wp:positionH relativeFrom="page">
            <wp:posOffset>-35917</wp:posOffset>
          </wp:positionH>
          <wp:positionV relativeFrom="page">
            <wp:posOffset>7218680</wp:posOffset>
          </wp:positionV>
          <wp:extent cx="7855720" cy="3196598"/>
          <wp:effectExtent l="0" t="0" r="0" b="381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 Footer.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55720" cy="31965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4F" w:rsidRDefault="008E154F" w:rsidP="00F54F26">
      <w:r>
        <w:separator/>
      </w:r>
    </w:p>
  </w:footnote>
  <w:footnote w:type="continuationSeparator" w:id="0">
    <w:p w:rsidR="008E154F" w:rsidRDefault="008E154F" w:rsidP="00F5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26" w:rsidRDefault="00F54F26" w:rsidP="00F54F26">
    <w:pPr>
      <w:pStyle w:val="Header"/>
    </w:pPr>
  </w:p>
  <w:p w:rsidR="00F54F26" w:rsidRDefault="00F54F26" w:rsidP="00F54F26">
    <w:pPr>
      <w:pStyle w:val="Header"/>
      <w:tabs>
        <w:tab w:val="clear" w:pos="468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1A5" w:rsidRDefault="006151A5" w:rsidP="006151A5">
    <w:pPr>
      <w:pStyle w:val="Header"/>
      <w:jc w:val="center"/>
    </w:pPr>
  </w:p>
  <w:p w:rsidR="00C8037B" w:rsidRDefault="00C8037B" w:rsidP="006151A5">
    <w:pPr>
      <w:pStyle w:val="Header"/>
      <w:jc w:val="center"/>
    </w:pPr>
  </w:p>
  <w:p w:rsidR="006151A5" w:rsidRDefault="006151A5" w:rsidP="006151A5">
    <w:pPr>
      <w:pStyle w:val="Header"/>
      <w:jc w:val="center"/>
    </w:pPr>
    <w:r>
      <w:rPr>
        <w:noProof/>
      </w:rPr>
      <w:drawing>
        <wp:inline distT="0" distB="0" distL="0" distR="0" wp14:anchorId="1402E691" wp14:editId="4E540717">
          <wp:extent cx="1188720" cy="118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p w:rsidR="00C8037B" w:rsidRDefault="00C8037B" w:rsidP="006151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D1A"/>
    <w:multiLevelType w:val="hybridMultilevel"/>
    <w:tmpl w:val="C87825F8"/>
    <w:lvl w:ilvl="0" w:tplc="D1E4A8C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E935EBA"/>
    <w:multiLevelType w:val="hybridMultilevel"/>
    <w:tmpl w:val="88BA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31E7F"/>
    <w:multiLevelType w:val="multilevel"/>
    <w:tmpl w:val="3FF4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03F03"/>
    <w:multiLevelType w:val="hybridMultilevel"/>
    <w:tmpl w:val="6950B3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B40F5"/>
    <w:multiLevelType w:val="hybridMultilevel"/>
    <w:tmpl w:val="D53E4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91745"/>
    <w:multiLevelType w:val="hybridMultilevel"/>
    <w:tmpl w:val="E70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60830"/>
    <w:multiLevelType w:val="hybridMultilevel"/>
    <w:tmpl w:val="0730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717E8"/>
    <w:multiLevelType w:val="hybridMultilevel"/>
    <w:tmpl w:val="ABF2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845455"/>
    <w:multiLevelType w:val="hybridMultilevel"/>
    <w:tmpl w:val="DB5E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034E0"/>
    <w:multiLevelType w:val="multilevel"/>
    <w:tmpl w:val="4CF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511E1"/>
    <w:multiLevelType w:val="hybridMultilevel"/>
    <w:tmpl w:val="3094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F05BD"/>
    <w:multiLevelType w:val="hybridMultilevel"/>
    <w:tmpl w:val="73D0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0"/>
  </w:num>
  <w:num w:numId="5">
    <w:abstractNumId w:val="10"/>
  </w:num>
  <w:num w:numId="6">
    <w:abstractNumId w:val="5"/>
  </w:num>
  <w:num w:numId="7">
    <w:abstractNumId w:val="3"/>
  </w:num>
  <w:num w:numId="8">
    <w:abstractNumId w:val="1"/>
  </w:num>
  <w:num w:numId="9">
    <w:abstractNumId w:val="8"/>
  </w:num>
  <w:num w:numId="10">
    <w:abstractNumId w:val="6"/>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26"/>
    <w:rsid w:val="00007ECE"/>
    <w:rsid w:val="000126F6"/>
    <w:rsid w:val="00014595"/>
    <w:rsid w:val="00015BEA"/>
    <w:rsid w:val="00037CEA"/>
    <w:rsid w:val="00042A31"/>
    <w:rsid w:val="00057A8E"/>
    <w:rsid w:val="00063290"/>
    <w:rsid w:val="00087B19"/>
    <w:rsid w:val="000B3F2D"/>
    <w:rsid w:val="000B4549"/>
    <w:rsid w:val="000C467D"/>
    <w:rsid w:val="000F7E7F"/>
    <w:rsid w:val="00104727"/>
    <w:rsid w:val="00116290"/>
    <w:rsid w:val="0014581D"/>
    <w:rsid w:val="001630EF"/>
    <w:rsid w:val="001750C6"/>
    <w:rsid w:val="00185B66"/>
    <w:rsid w:val="001C1FF3"/>
    <w:rsid w:val="00200058"/>
    <w:rsid w:val="0021045A"/>
    <w:rsid w:val="00226C49"/>
    <w:rsid w:val="0029611E"/>
    <w:rsid w:val="002F7EA5"/>
    <w:rsid w:val="00300704"/>
    <w:rsid w:val="00325594"/>
    <w:rsid w:val="00370216"/>
    <w:rsid w:val="003A0C1D"/>
    <w:rsid w:val="003A5219"/>
    <w:rsid w:val="003C1F32"/>
    <w:rsid w:val="003D596B"/>
    <w:rsid w:val="003D5E89"/>
    <w:rsid w:val="003E0ACC"/>
    <w:rsid w:val="003F4269"/>
    <w:rsid w:val="003F7B24"/>
    <w:rsid w:val="00410A9D"/>
    <w:rsid w:val="00415611"/>
    <w:rsid w:val="0044139C"/>
    <w:rsid w:val="00460452"/>
    <w:rsid w:val="004738E3"/>
    <w:rsid w:val="00474258"/>
    <w:rsid w:val="00492821"/>
    <w:rsid w:val="004A0382"/>
    <w:rsid w:val="004B5E5C"/>
    <w:rsid w:val="004C529D"/>
    <w:rsid w:val="004F7565"/>
    <w:rsid w:val="00537EFD"/>
    <w:rsid w:val="0054039F"/>
    <w:rsid w:val="00540C78"/>
    <w:rsid w:val="00543E41"/>
    <w:rsid w:val="005513D1"/>
    <w:rsid w:val="00567C95"/>
    <w:rsid w:val="00586C62"/>
    <w:rsid w:val="005A0462"/>
    <w:rsid w:val="005A305A"/>
    <w:rsid w:val="005B3463"/>
    <w:rsid w:val="005B3C33"/>
    <w:rsid w:val="005B5B02"/>
    <w:rsid w:val="005C1135"/>
    <w:rsid w:val="005C792D"/>
    <w:rsid w:val="005E385B"/>
    <w:rsid w:val="00604434"/>
    <w:rsid w:val="00610D30"/>
    <w:rsid w:val="006151A5"/>
    <w:rsid w:val="0064399A"/>
    <w:rsid w:val="006741E5"/>
    <w:rsid w:val="006E33AB"/>
    <w:rsid w:val="006E4226"/>
    <w:rsid w:val="00710219"/>
    <w:rsid w:val="00710B7B"/>
    <w:rsid w:val="00711039"/>
    <w:rsid w:val="007274B4"/>
    <w:rsid w:val="00731820"/>
    <w:rsid w:val="0075036B"/>
    <w:rsid w:val="00762DD7"/>
    <w:rsid w:val="00771045"/>
    <w:rsid w:val="00777C83"/>
    <w:rsid w:val="00796830"/>
    <w:rsid w:val="007A3709"/>
    <w:rsid w:val="007A3928"/>
    <w:rsid w:val="008064F0"/>
    <w:rsid w:val="00830C61"/>
    <w:rsid w:val="008502B2"/>
    <w:rsid w:val="00872BDC"/>
    <w:rsid w:val="00875FD1"/>
    <w:rsid w:val="008D64F9"/>
    <w:rsid w:val="008D7B29"/>
    <w:rsid w:val="008E154F"/>
    <w:rsid w:val="008E7E68"/>
    <w:rsid w:val="00912650"/>
    <w:rsid w:val="00945501"/>
    <w:rsid w:val="00952C71"/>
    <w:rsid w:val="00955799"/>
    <w:rsid w:val="009B5B48"/>
    <w:rsid w:val="009D28C8"/>
    <w:rsid w:val="00A15E30"/>
    <w:rsid w:val="00A32358"/>
    <w:rsid w:val="00A35574"/>
    <w:rsid w:val="00A3762C"/>
    <w:rsid w:val="00A52DF7"/>
    <w:rsid w:val="00A57A08"/>
    <w:rsid w:val="00A60CB5"/>
    <w:rsid w:val="00AA23FE"/>
    <w:rsid w:val="00AB4A2C"/>
    <w:rsid w:val="00AC0365"/>
    <w:rsid w:val="00AD29C1"/>
    <w:rsid w:val="00AF7A7B"/>
    <w:rsid w:val="00B0365B"/>
    <w:rsid w:val="00B11CFA"/>
    <w:rsid w:val="00B27D63"/>
    <w:rsid w:val="00B51682"/>
    <w:rsid w:val="00B671EE"/>
    <w:rsid w:val="00B95F23"/>
    <w:rsid w:val="00BA163D"/>
    <w:rsid w:val="00BA57A5"/>
    <w:rsid w:val="00BB77F7"/>
    <w:rsid w:val="00BF3D9A"/>
    <w:rsid w:val="00C0232A"/>
    <w:rsid w:val="00C61166"/>
    <w:rsid w:val="00C61459"/>
    <w:rsid w:val="00C8037B"/>
    <w:rsid w:val="00C822A3"/>
    <w:rsid w:val="00CB06A5"/>
    <w:rsid w:val="00CD23C6"/>
    <w:rsid w:val="00CF592C"/>
    <w:rsid w:val="00D20CB0"/>
    <w:rsid w:val="00D455F9"/>
    <w:rsid w:val="00D7721F"/>
    <w:rsid w:val="00D92EBD"/>
    <w:rsid w:val="00DB38D5"/>
    <w:rsid w:val="00E01ED9"/>
    <w:rsid w:val="00E11C9C"/>
    <w:rsid w:val="00E24BB1"/>
    <w:rsid w:val="00E26F54"/>
    <w:rsid w:val="00E427D2"/>
    <w:rsid w:val="00E95B19"/>
    <w:rsid w:val="00EB3649"/>
    <w:rsid w:val="00ED13FE"/>
    <w:rsid w:val="00EF38C6"/>
    <w:rsid w:val="00F30A52"/>
    <w:rsid w:val="00F4441E"/>
    <w:rsid w:val="00F54F26"/>
    <w:rsid w:val="00F57D09"/>
    <w:rsid w:val="00F65834"/>
    <w:rsid w:val="00FE318A"/>
    <w:rsid w:val="00FF07E1"/>
    <w:rsid w:val="00FF3D3D"/>
    <w:rsid w:val="00FF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19"/>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2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54F26"/>
  </w:style>
  <w:style w:type="paragraph" w:styleId="Footer">
    <w:name w:val="footer"/>
    <w:basedOn w:val="Normal"/>
    <w:link w:val="FooterChar"/>
    <w:uiPriority w:val="99"/>
    <w:unhideWhenUsed/>
    <w:rsid w:val="00F54F2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54F26"/>
  </w:style>
  <w:style w:type="paragraph" w:styleId="BalloonText">
    <w:name w:val="Balloon Text"/>
    <w:basedOn w:val="Normal"/>
    <w:link w:val="BalloonTextChar"/>
    <w:uiPriority w:val="99"/>
    <w:semiHidden/>
    <w:unhideWhenUsed/>
    <w:rsid w:val="00F54F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F26"/>
    <w:rPr>
      <w:rFonts w:ascii="Tahoma" w:hAnsi="Tahoma" w:cs="Tahoma"/>
      <w:sz w:val="16"/>
      <w:szCs w:val="16"/>
    </w:rPr>
  </w:style>
  <w:style w:type="table" w:styleId="TableGrid">
    <w:name w:val="Table Grid"/>
    <w:basedOn w:val="TableNormal"/>
    <w:uiPriority w:val="59"/>
    <w:rsid w:val="00E95B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FD1"/>
    <w:pPr>
      <w:spacing w:line="276" w:lineRule="auto"/>
      <w:ind w:left="720"/>
      <w:contextualSpacing/>
    </w:pPr>
    <w:rPr>
      <w:rFonts w:ascii="Times New Roman" w:eastAsiaTheme="minorHAnsi" w:hAnsi="Times New Roman" w:cs="Times New Roman"/>
    </w:rPr>
  </w:style>
  <w:style w:type="paragraph" w:customStyle="1" w:styleId="Normal1">
    <w:name w:val="Normal1"/>
    <w:basedOn w:val="Normal"/>
    <w:rsid w:val="002F7EA5"/>
    <w:pPr>
      <w:spacing w:line="240" w:lineRule="atLeast"/>
    </w:pPr>
    <w:rPr>
      <w:rFonts w:ascii="Calibri" w:eastAsia="Times New Roman" w:hAnsi="Calibri" w:cs="Times New Roman"/>
    </w:rPr>
  </w:style>
  <w:style w:type="character" w:customStyle="1" w:styleId="normalchar1">
    <w:name w:val="normal__char1"/>
    <w:basedOn w:val="DefaultParagraphFont"/>
    <w:rsid w:val="002F7EA5"/>
    <w:rPr>
      <w:rFonts w:ascii="Calibri" w:hAnsi="Calibri" w:hint="default"/>
      <w:sz w:val="24"/>
      <w:szCs w:val="24"/>
    </w:rPr>
  </w:style>
  <w:style w:type="paragraph" w:styleId="BodyText">
    <w:name w:val="Body Text"/>
    <w:basedOn w:val="Normal"/>
    <w:link w:val="BodyTextChar"/>
    <w:uiPriority w:val="1"/>
    <w:qFormat/>
    <w:rsid w:val="00711039"/>
    <w:pPr>
      <w:widowControl w:val="0"/>
      <w:ind w:left="2880"/>
    </w:pPr>
    <w:rPr>
      <w:rFonts w:ascii="Times New Roman" w:eastAsia="Times New Roman" w:hAnsi="Times New Roman"/>
    </w:rPr>
  </w:style>
  <w:style w:type="character" w:customStyle="1" w:styleId="BodyTextChar">
    <w:name w:val="Body Text Char"/>
    <w:basedOn w:val="DefaultParagraphFont"/>
    <w:link w:val="BodyText"/>
    <w:uiPriority w:val="1"/>
    <w:rsid w:val="00711039"/>
    <w:rPr>
      <w:rFonts w:ascii="Times New Roman" w:eastAsia="Times New Roman" w:hAnsi="Times New Roman"/>
      <w:sz w:val="24"/>
      <w:szCs w:val="24"/>
    </w:rPr>
  </w:style>
  <w:style w:type="character" w:styleId="Hyperlink">
    <w:name w:val="Hyperlink"/>
    <w:basedOn w:val="DefaultParagraphFont"/>
    <w:uiPriority w:val="99"/>
    <w:unhideWhenUsed/>
    <w:rsid w:val="001C1F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19"/>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F26"/>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54F26"/>
  </w:style>
  <w:style w:type="paragraph" w:styleId="Footer">
    <w:name w:val="footer"/>
    <w:basedOn w:val="Normal"/>
    <w:link w:val="FooterChar"/>
    <w:uiPriority w:val="99"/>
    <w:unhideWhenUsed/>
    <w:rsid w:val="00F54F26"/>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54F26"/>
  </w:style>
  <w:style w:type="paragraph" w:styleId="BalloonText">
    <w:name w:val="Balloon Text"/>
    <w:basedOn w:val="Normal"/>
    <w:link w:val="BalloonTextChar"/>
    <w:uiPriority w:val="99"/>
    <w:semiHidden/>
    <w:unhideWhenUsed/>
    <w:rsid w:val="00F54F2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54F26"/>
    <w:rPr>
      <w:rFonts w:ascii="Tahoma" w:hAnsi="Tahoma" w:cs="Tahoma"/>
      <w:sz w:val="16"/>
      <w:szCs w:val="16"/>
    </w:rPr>
  </w:style>
  <w:style w:type="table" w:styleId="TableGrid">
    <w:name w:val="Table Grid"/>
    <w:basedOn w:val="TableNormal"/>
    <w:uiPriority w:val="59"/>
    <w:rsid w:val="00E95B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FD1"/>
    <w:pPr>
      <w:spacing w:line="276" w:lineRule="auto"/>
      <w:ind w:left="720"/>
      <w:contextualSpacing/>
    </w:pPr>
    <w:rPr>
      <w:rFonts w:ascii="Times New Roman" w:eastAsiaTheme="minorHAnsi" w:hAnsi="Times New Roman" w:cs="Times New Roman"/>
    </w:rPr>
  </w:style>
  <w:style w:type="paragraph" w:customStyle="1" w:styleId="Normal1">
    <w:name w:val="Normal1"/>
    <w:basedOn w:val="Normal"/>
    <w:rsid w:val="002F7EA5"/>
    <w:pPr>
      <w:spacing w:line="240" w:lineRule="atLeast"/>
    </w:pPr>
    <w:rPr>
      <w:rFonts w:ascii="Calibri" w:eastAsia="Times New Roman" w:hAnsi="Calibri" w:cs="Times New Roman"/>
    </w:rPr>
  </w:style>
  <w:style w:type="character" w:customStyle="1" w:styleId="normalchar1">
    <w:name w:val="normal__char1"/>
    <w:basedOn w:val="DefaultParagraphFont"/>
    <w:rsid w:val="002F7EA5"/>
    <w:rPr>
      <w:rFonts w:ascii="Calibri" w:hAnsi="Calibri" w:hint="default"/>
      <w:sz w:val="24"/>
      <w:szCs w:val="24"/>
    </w:rPr>
  </w:style>
  <w:style w:type="paragraph" w:styleId="BodyText">
    <w:name w:val="Body Text"/>
    <w:basedOn w:val="Normal"/>
    <w:link w:val="BodyTextChar"/>
    <w:uiPriority w:val="1"/>
    <w:qFormat/>
    <w:rsid w:val="00711039"/>
    <w:pPr>
      <w:widowControl w:val="0"/>
      <w:ind w:left="2880"/>
    </w:pPr>
    <w:rPr>
      <w:rFonts w:ascii="Times New Roman" w:eastAsia="Times New Roman" w:hAnsi="Times New Roman"/>
    </w:rPr>
  </w:style>
  <w:style w:type="character" w:customStyle="1" w:styleId="BodyTextChar">
    <w:name w:val="Body Text Char"/>
    <w:basedOn w:val="DefaultParagraphFont"/>
    <w:link w:val="BodyText"/>
    <w:uiPriority w:val="1"/>
    <w:rsid w:val="00711039"/>
    <w:rPr>
      <w:rFonts w:ascii="Times New Roman" w:eastAsia="Times New Roman" w:hAnsi="Times New Roman"/>
      <w:sz w:val="24"/>
      <w:szCs w:val="24"/>
    </w:rPr>
  </w:style>
  <w:style w:type="character" w:styleId="Hyperlink">
    <w:name w:val="Hyperlink"/>
    <w:basedOn w:val="DefaultParagraphFont"/>
    <w:uiPriority w:val="99"/>
    <w:unhideWhenUsed/>
    <w:rsid w:val="001C1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4963">
      <w:bodyDiv w:val="1"/>
      <w:marLeft w:val="0"/>
      <w:marRight w:val="0"/>
      <w:marTop w:val="0"/>
      <w:marBottom w:val="0"/>
      <w:divBdr>
        <w:top w:val="none" w:sz="0" w:space="0" w:color="auto"/>
        <w:left w:val="none" w:sz="0" w:space="0" w:color="auto"/>
        <w:bottom w:val="none" w:sz="0" w:space="0" w:color="auto"/>
        <w:right w:val="none" w:sz="0" w:space="0" w:color="auto"/>
      </w:divBdr>
    </w:div>
    <w:div w:id="999046155">
      <w:bodyDiv w:val="1"/>
      <w:marLeft w:val="0"/>
      <w:marRight w:val="0"/>
      <w:marTop w:val="0"/>
      <w:marBottom w:val="0"/>
      <w:divBdr>
        <w:top w:val="none" w:sz="0" w:space="0" w:color="auto"/>
        <w:left w:val="none" w:sz="0" w:space="0" w:color="auto"/>
        <w:bottom w:val="none" w:sz="0" w:space="0" w:color="auto"/>
        <w:right w:val="none" w:sz="0" w:space="0" w:color="auto"/>
      </w:divBdr>
    </w:div>
    <w:div w:id="1439834303">
      <w:bodyDiv w:val="1"/>
      <w:marLeft w:val="1440"/>
      <w:marRight w:val="1440"/>
      <w:marTop w:val="2300"/>
      <w:marBottom w:val="1440"/>
      <w:divBdr>
        <w:top w:val="none" w:sz="0" w:space="0" w:color="auto"/>
        <w:left w:val="none" w:sz="0" w:space="0" w:color="auto"/>
        <w:bottom w:val="none" w:sz="0" w:space="0" w:color="auto"/>
        <w:right w:val="none" w:sz="0" w:space="0" w:color="auto"/>
      </w:divBdr>
    </w:div>
    <w:div w:id="1590309221">
      <w:bodyDiv w:val="1"/>
      <w:marLeft w:val="0"/>
      <w:marRight w:val="0"/>
      <w:marTop w:val="0"/>
      <w:marBottom w:val="0"/>
      <w:divBdr>
        <w:top w:val="none" w:sz="0" w:space="0" w:color="auto"/>
        <w:left w:val="none" w:sz="0" w:space="0" w:color="auto"/>
        <w:bottom w:val="none" w:sz="0" w:space="0" w:color="auto"/>
        <w:right w:val="none" w:sz="0" w:space="0" w:color="auto"/>
      </w:divBdr>
    </w:div>
    <w:div w:id="1778788584">
      <w:bodyDiv w:val="1"/>
      <w:marLeft w:val="0"/>
      <w:marRight w:val="0"/>
      <w:marTop w:val="0"/>
      <w:marBottom w:val="0"/>
      <w:divBdr>
        <w:top w:val="none" w:sz="0" w:space="0" w:color="auto"/>
        <w:left w:val="none" w:sz="0" w:space="0" w:color="auto"/>
        <w:bottom w:val="none" w:sz="0" w:space="0" w:color="auto"/>
        <w:right w:val="none" w:sz="0" w:space="0" w:color="auto"/>
      </w:divBdr>
    </w:div>
    <w:div w:id="188189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MAGamingCom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witter.com/massgamingcomm" TargetMode="External"/><Relationship Id="rId4" Type="http://schemas.microsoft.com/office/2007/relationships/stylesWithEffects" Target="stylesWithEffects.xml"/><Relationship Id="rId9" Type="http://schemas.openxmlformats.org/officeDocument/2006/relationships/hyperlink" Target="http://www.mass.gov/gamin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03D2-0D50-49A9-A0CB-1C96E174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2018-04-20T14:43:00Z</dcterms:created>
  <dcterms:modified xsi:type="dcterms:W3CDTF">2018-04-25T17:11:00Z</dcterms:modified>
</cp:coreProperties>
</file>