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F0" w:rsidRDefault="00DE6001" w:rsidP="00AF1D2C">
      <w:pPr>
        <w:pStyle w:val="Subtitle"/>
        <w:rPr>
          <w:rFonts w:asciiTheme="minorHAnsi" w:eastAsiaTheme="minorHAnsi" w:hAnsiTheme="minorHAnsi" w:cstheme="minorBidi"/>
          <w:i w:val="0"/>
          <w:iCs w:val="0"/>
          <w:color w:val="auto"/>
          <w:spacing w:val="0"/>
          <w:sz w:val="22"/>
          <w:szCs w:val="22"/>
        </w:rPr>
      </w:pPr>
      <w:bookmarkStart w:id="0" w:name="_GoBack"/>
      <w:bookmarkEnd w:id="0"/>
      <w:r>
        <w:rPr>
          <w:rFonts w:asciiTheme="minorHAnsi" w:eastAsiaTheme="minorHAnsi" w:hAnsiTheme="minorHAnsi" w:cstheme="minorBidi"/>
          <w:i w:val="0"/>
          <w:iCs w:val="0"/>
          <w:color w:val="auto"/>
          <w:spacing w:val="0"/>
          <w:sz w:val="22"/>
          <w:szCs w:val="22"/>
        </w:rPr>
        <w:tab/>
      </w:r>
      <w:r>
        <w:rPr>
          <w:rFonts w:asciiTheme="minorHAnsi" w:eastAsiaTheme="minorHAnsi" w:hAnsiTheme="minorHAnsi" w:cstheme="minorBidi"/>
          <w:i w:val="0"/>
          <w:iCs w:val="0"/>
          <w:color w:val="auto"/>
          <w:spacing w:val="0"/>
          <w:sz w:val="22"/>
          <w:szCs w:val="22"/>
        </w:rPr>
        <w:tab/>
      </w:r>
      <w:r>
        <w:rPr>
          <w:rFonts w:asciiTheme="minorHAnsi" w:eastAsiaTheme="minorHAnsi" w:hAnsiTheme="minorHAnsi" w:cstheme="minorBidi"/>
          <w:i w:val="0"/>
          <w:iCs w:val="0"/>
          <w:color w:val="auto"/>
          <w:spacing w:val="0"/>
          <w:sz w:val="22"/>
          <w:szCs w:val="22"/>
        </w:rPr>
        <w:tab/>
      </w:r>
      <w:r>
        <w:rPr>
          <w:rFonts w:asciiTheme="minorHAnsi" w:eastAsiaTheme="minorHAnsi" w:hAnsiTheme="minorHAnsi" w:cstheme="minorBidi"/>
          <w:i w:val="0"/>
          <w:iCs w:val="0"/>
          <w:color w:val="auto"/>
          <w:spacing w:val="0"/>
          <w:sz w:val="22"/>
          <w:szCs w:val="22"/>
        </w:rPr>
        <w:tab/>
      </w:r>
    </w:p>
    <w:tbl>
      <w:tblPr>
        <w:tblStyle w:val="TableGrid"/>
        <w:tblW w:w="0" w:type="auto"/>
        <w:tblLook w:val="04A0" w:firstRow="1" w:lastRow="0" w:firstColumn="1" w:lastColumn="0" w:noHBand="0" w:noVBand="1"/>
      </w:tblPr>
      <w:tblGrid>
        <w:gridCol w:w="3192"/>
        <w:gridCol w:w="3192"/>
        <w:gridCol w:w="3192"/>
      </w:tblGrid>
      <w:tr w:rsidR="00DE6001" w:rsidTr="00952157">
        <w:tc>
          <w:tcPr>
            <w:tcW w:w="3192" w:type="dxa"/>
            <w:shd w:val="clear" w:color="auto" w:fill="E5B8B7" w:themeFill="accent2" w:themeFillTint="66"/>
            <w:vAlign w:val="center"/>
          </w:tcPr>
          <w:p w:rsidR="00DE6001" w:rsidRPr="00DE6001" w:rsidRDefault="00DE6001" w:rsidP="003C3006">
            <w:pPr>
              <w:jc w:val="center"/>
              <w:rPr>
                <w:rFonts w:asciiTheme="majorHAnsi" w:hAnsiTheme="majorHAnsi"/>
                <w:b/>
                <w:sz w:val="24"/>
                <w:szCs w:val="24"/>
                <w14:shadow w14:blurRad="50800" w14:dist="38100" w14:dir="2700000" w14:sx="100000" w14:sy="100000" w14:kx="0" w14:ky="0" w14:algn="tl">
                  <w14:srgbClr w14:val="000000">
                    <w14:alpha w14:val="60000"/>
                  </w14:srgbClr>
                </w14:shadow>
              </w:rPr>
            </w:pPr>
            <w:r w:rsidRPr="00DE6001">
              <w:rPr>
                <w:rFonts w:asciiTheme="majorHAnsi" w:hAnsiTheme="majorHAnsi"/>
                <w:b/>
                <w:sz w:val="24"/>
                <w:szCs w:val="24"/>
                <w14:shadow w14:blurRad="50800" w14:dist="38100" w14:dir="2700000" w14:sx="100000" w14:sy="100000" w14:kx="0" w14:ky="0" w14:algn="tl">
                  <w14:srgbClr w14:val="000000">
                    <w14:alpha w14:val="60000"/>
                  </w14:srgbClr>
                </w14:shadow>
              </w:rPr>
              <w:t>STATE</w:t>
            </w:r>
          </w:p>
        </w:tc>
        <w:tc>
          <w:tcPr>
            <w:tcW w:w="3192" w:type="dxa"/>
            <w:shd w:val="clear" w:color="auto" w:fill="E5B8B7" w:themeFill="accent2" w:themeFillTint="66"/>
            <w:vAlign w:val="center"/>
          </w:tcPr>
          <w:p w:rsidR="00DE6001" w:rsidRPr="00DE6001" w:rsidRDefault="00DE6001" w:rsidP="003C3006">
            <w:pPr>
              <w:jc w:val="center"/>
              <w:rPr>
                <w:rFonts w:asciiTheme="majorHAnsi" w:hAnsiTheme="majorHAnsi"/>
                <w:b/>
                <w:sz w:val="24"/>
                <w:szCs w:val="24"/>
                <w14:shadow w14:blurRad="50800" w14:dist="38100" w14:dir="2700000" w14:sx="100000" w14:sy="100000" w14:kx="0" w14:ky="0" w14:algn="tl">
                  <w14:srgbClr w14:val="000000">
                    <w14:alpha w14:val="60000"/>
                  </w14:srgbClr>
                </w14:shadow>
              </w:rPr>
            </w:pPr>
            <w:r w:rsidRPr="00DE6001">
              <w:rPr>
                <w:rFonts w:asciiTheme="majorHAnsi" w:hAnsiTheme="majorHAnsi"/>
                <w:b/>
                <w:sz w:val="24"/>
                <w:szCs w:val="24"/>
                <w14:shadow w14:blurRad="50800" w14:dist="38100" w14:dir="2700000" w14:sx="100000" w14:sy="100000" w14:kx="0" w14:ky="0" w14:algn="tl">
                  <w14:srgbClr w14:val="000000">
                    <w14:alpha w14:val="60000"/>
                  </w14:srgbClr>
                </w14:shadow>
              </w:rPr>
              <w:t>GOVERNING STATUTE/REGULATION</w:t>
            </w:r>
          </w:p>
        </w:tc>
        <w:tc>
          <w:tcPr>
            <w:tcW w:w="3192" w:type="dxa"/>
            <w:shd w:val="clear" w:color="auto" w:fill="E5B8B7" w:themeFill="accent2" w:themeFillTint="66"/>
            <w:vAlign w:val="center"/>
          </w:tcPr>
          <w:p w:rsidR="00DE6001" w:rsidRPr="00DE6001" w:rsidRDefault="00DE6001" w:rsidP="003C3006">
            <w:pPr>
              <w:jc w:val="center"/>
              <w:rPr>
                <w:rFonts w:asciiTheme="majorHAnsi" w:hAnsiTheme="majorHAnsi"/>
                <w:b/>
                <w:sz w:val="24"/>
                <w:szCs w:val="24"/>
                <w14:shadow w14:blurRad="50800" w14:dist="38100" w14:dir="2700000" w14:sx="100000" w14:sy="100000" w14:kx="0" w14:ky="0" w14:algn="tl">
                  <w14:srgbClr w14:val="000000">
                    <w14:alpha w14:val="60000"/>
                  </w14:srgbClr>
                </w14:shadow>
              </w:rPr>
            </w:pPr>
            <w:r w:rsidRPr="00DE6001">
              <w:rPr>
                <w:rFonts w:asciiTheme="majorHAnsi" w:hAnsiTheme="majorHAnsi"/>
                <w:b/>
                <w:sz w:val="24"/>
                <w:szCs w:val="24"/>
                <w14:shadow w14:blurRad="50800" w14:dist="38100" w14:dir="2700000" w14:sx="100000" w14:sy="100000" w14:kx="0" w14:ky="0" w14:algn="tl">
                  <w14:srgbClr w14:val="000000">
                    <w14:alpha w14:val="60000"/>
                  </w14:srgbClr>
                </w14:shadow>
              </w:rPr>
              <w:t>TREATMENT OF OUTSIDE DIRECTORS OF CASINO APPLICANTS</w:t>
            </w:r>
            <w:r w:rsidR="00683DB7">
              <w:rPr>
                <w:rFonts w:asciiTheme="majorHAnsi" w:hAnsiTheme="majorHAnsi"/>
                <w:b/>
                <w:sz w:val="24"/>
                <w:szCs w:val="24"/>
                <w14:shadow w14:blurRad="50800" w14:dist="38100" w14:dir="2700000" w14:sx="100000" w14:sy="100000" w14:kx="0" w14:ky="0" w14:algn="tl">
                  <w14:srgbClr w14:val="000000">
                    <w14:alpha w14:val="60000"/>
                  </w14:srgbClr>
                </w14:shadow>
              </w:rPr>
              <w:t>/LICENSEES</w:t>
            </w:r>
          </w:p>
        </w:tc>
      </w:tr>
      <w:tr w:rsidR="00DE6001" w:rsidTr="00952157">
        <w:tc>
          <w:tcPr>
            <w:tcW w:w="3192" w:type="dxa"/>
            <w:shd w:val="clear" w:color="auto" w:fill="D6E3BC" w:themeFill="accent3" w:themeFillTint="66"/>
            <w:vAlign w:val="center"/>
          </w:tcPr>
          <w:p w:rsidR="00DE6001" w:rsidRPr="00DE6001" w:rsidRDefault="00DE6001" w:rsidP="003C3006">
            <w:pPr>
              <w:jc w:val="center"/>
              <w:rPr>
                <w:rFonts w:asciiTheme="majorHAnsi" w:hAnsiTheme="majorHAnsi"/>
                <w:sz w:val="21"/>
                <w:szCs w:val="21"/>
              </w:rPr>
            </w:pPr>
            <w:r w:rsidRPr="00DE6001">
              <w:rPr>
                <w:rFonts w:asciiTheme="majorHAnsi" w:hAnsiTheme="majorHAnsi"/>
                <w:sz w:val="21"/>
                <w:szCs w:val="21"/>
              </w:rPr>
              <w:t>New Jersey</w:t>
            </w:r>
          </w:p>
        </w:tc>
        <w:tc>
          <w:tcPr>
            <w:tcW w:w="3192" w:type="dxa"/>
            <w:shd w:val="clear" w:color="auto" w:fill="D6E3BC" w:themeFill="accent3" w:themeFillTint="66"/>
            <w:vAlign w:val="center"/>
          </w:tcPr>
          <w:p w:rsidR="00DE6001" w:rsidRPr="00DE6001" w:rsidRDefault="00DE6001" w:rsidP="003C3006">
            <w:pPr>
              <w:jc w:val="center"/>
              <w:rPr>
                <w:rFonts w:asciiTheme="majorHAnsi" w:hAnsiTheme="majorHAnsi"/>
                <w:sz w:val="21"/>
                <w:szCs w:val="21"/>
              </w:rPr>
            </w:pPr>
            <w:r w:rsidRPr="00DE6001">
              <w:rPr>
                <w:rFonts w:asciiTheme="majorHAnsi" w:hAnsiTheme="majorHAnsi"/>
                <w:sz w:val="21"/>
                <w:szCs w:val="21"/>
              </w:rPr>
              <w:t>Statute – N.J.S.A. 5:12-85</w:t>
            </w:r>
          </w:p>
        </w:tc>
        <w:tc>
          <w:tcPr>
            <w:tcW w:w="3192" w:type="dxa"/>
            <w:shd w:val="clear" w:color="auto" w:fill="D6E3BC" w:themeFill="accent3" w:themeFillTint="66"/>
          </w:tcPr>
          <w:p w:rsidR="00DE6001" w:rsidRPr="00DE6001" w:rsidRDefault="00DE6001" w:rsidP="003C3006">
            <w:pPr>
              <w:rPr>
                <w:rFonts w:asciiTheme="majorHAnsi" w:hAnsiTheme="majorHAnsi"/>
                <w:sz w:val="21"/>
                <w:szCs w:val="21"/>
              </w:rPr>
            </w:pPr>
            <w:r w:rsidRPr="00DE6001">
              <w:rPr>
                <w:rFonts w:asciiTheme="majorHAnsi" w:hAnsiTheme="majorHAnsi"/>
                <w:sz w:val="21"/>
                <w:szCs w:val="21"/>
              </w:rPr>
              <w:t>All Directors are required to be qualified but are subject to waiver by the Director of the Division of Gaming Enforcement on an individual basis depending on their degree of influence and control</w:t>
            </w:r>
          </w:p>
        </w:tc>
      </w:tr>
      <w:tr w:rsidR="00DE6001" w:rsidTr="00952157">
        <w:tc>
          <w:tcPr>
            <w:tcW w:w="3192" w:type="dxa"/>
            <w:shd w:val="clear" w:color="auto" w:fill="FFFF99"/>
            <w:vAlign w:val="center"/>
          </w:tcPr>
          <w:p w:rsidR="00DE6001" w:rsidRPr="00DE6001" w:rsidRDefault="00DE6001" w:rsidP="003C3006">
            <w:pPr>
              <w:jc w:val="center"/>
              <w:rPr>
                <w:rFonts w:asciiTheme="majorHAnsi" w:hAnsiTheme="majorHAnsi"/>
                <w:sz w:val="21"/>
                <w:szCs w:val="21"/>
              </w:rPr>
            </w:pPr>
            <w:r w:rsidRPr="00DE6001">
              <w:rPr>
                <w:rFonts w:asciiTheme="majorHAnsi" w:hAnsiTheme="majorHAnsi"/>
                <w:sz w:val="21"/>
                <w:szCs w:val="21"/>
              </w:rPr>
              <w:t>Pennsylvania</w:t>
            </w:r>
          </w:p>
        </w:tc>
        <w:tc>
          <w:tcPr>
            <w:tcW w:w="3192" w:type="dxa"/>
            <w:shd w:val="clear" w:color="auto" w:fill="FFFF99"/>
            <w:vAlign w:val="center"/>
          </w:tcPr>
          <w:p w:rsidR="00DE6001" w:rsidRPr="00DE6001" w:rsidRDefault="00DE6001" w:rsidP="003C3006">
            <w:pPr>
              <w:jc w:val="center"/>
              <w:rPr>
                <w:rFonts w:asciiTheme="majorHAnsi" w:hAnsiTheme="majorHAnsi"/>
                <w:sz w:val="21"/>
                <w:szCs w:val="21"/>
              </w:rPr>
            </w:pPr>
            <w:r w:rsidRPr="00DE6001">
              <w:rPr>
                <w:rFonts w:asciiTheme="majorHAnsi" w:hAnsiTheme="majorHAnsi"/>
                <w:sz w:val="21"/>
                <w:szCs w:val="21"/>
              </w:rPr>
              <w:t>58 Pa. Code Sec. 433.2(d)</w:t>
            </w:r>
          </w:p>
        </w:tc>
        <w:tc>
          <w:tcPr>
            <w:tcW w:w="3192" w:type="dxa"/>
            <w:shd w:val="clear" w:color="auto" w:fill="FFFF99"/>
          </w:tcPr>
          <w:p w:rsidR="00DE6001" w:rsidRPr="00DE6001" w:rsidRDefault="00DE6001" w:rsidP="003C3006">
            <w:pPr>
              <w:rPr>
                <w:rFonts w:asciiTheme="majorHAnsi" w:hAnsiTheme="majorHAnsi"/>
                <w:sz w:val="21"/>
                <w:szCs w:val="21"/>
              </w:rPr>
            </w:pPr>
            <w:r w:rsidRPr="00DE6001">
              <w:rPr>
                <w:rFonts w:asciiTheme="majorHAnsi" w:hAnsiTheme="majorHAnsi"/>
                <w:sz w:val="21"/>
                <w:szCs w:val="21"/>
              </w:rPr>
              <w:t>All Directors in a privately held company must qualify.  For publicly traded companies, only those outside Directors who serve on the Audit Committee or are the Chairman of the Board.  However, the Gaming Board, in its discretion, may determine that any Director must qualify</w:t>
            </w:r>
          </w:p>
        </w:tc>
      </w:tr>
      <w:tr w:rsidR="00DE6001" w:rsidTr="00952157">
        <w:tc>
          <w:tcPr>
            <w:tcW w:w="3192" w:type="dxa"/>
            <w:shd w:val="clear" w:color="auto" w:fill="C6D9F1" w:themeFill="text2" w:themeFillTint="33"/>
            <w:vAlign w:val="center"/>
          </w:tcPr>
          <w:p w:rsidR="00DE6001" w:rsidRPr="00DE6001" w:rsidRDefault="00DE6001" w:rsidP="003C3006">
            <w:pPr>
              <w:jc w:val="center"/>
              <w:rPr>
                <w:rFonts w:asciiTheme="majorHAnsi" w:hAnsiTheme="majorHAnsi"/>
                <w:sz w:val="21"/>
                <w:szCs w:val="21"/>
              </w:rPr>
            </w:pPr>
            <w:r w:rsidRPr="00DE6001">
              <w:rPr>
                <w:rFonts w:asciiTheme="majorHAnsi" w:hAnsiTheme="majorHAnsi"/>
                <w:sz w:val="21"/>
                <w:szCs w:val="21"/>
              </w:rPr>
              <w:t>Illinois</w:t>
            </w:r>
          </w:p>
        </w:tc>
        <w:tc>
          <w:tcPr>
            <w:tcW w:w="3192" w:type="dxa"/>
            <w:shd w:val="clear" w:color="auto" w:fill="C6D9F1" w:themeFill="text2" w:themeFillTint="33"/>
            <w:vAlign w:val="center"/>
          </w:tcPr>
          <w:p w:rsidR="00DE6001" w:rsidRPr="00DE6001" w:rsidRDefault="00DE6001" w:rsidP="003C3006">
            <w:pPr>
              <w:jc w:val="center"/>
              <w:rPr>
                <w:rFonts w:asciiTheme="majorHAnsi" w:hAnsiTheme="majorHAnsi"/>
                <w:sz w:val="21"/>
                <w:szCs w:val="21"/>
              </w:rPr>
            </w:pPr>
            <w:r w:rsidRPr="00DE6001">
              <w:rPr>
                <w:rFonts w:asciiTheme="majorHAnsi" w:hAnsiTheme="majorHAnsi"/>
                <w:sz w:val="21"/>
                <w:szCs w:val="21"/>
              </w:rPr>
              <w:t>Statute at 230 ILCS 10/6(c) and Regulations at 86 Section 3000.222(c)</w:t>
            </w:r>
          </w:p>
        </w:tc>
        <w:tc>
          <w:tcPr>
            <w:tcW w:w="3192" w:type="dxa"/>
            <w:shd w:val="clear" w:color="auto" w:fill="C6D9F1" w:themeFill="text2" w:themeFillTint="33"/>
          </w:tcPr>
          <w:p w:rsidR="00DE6001" w:rsidRPr="00DE6001" w:rsidRDefault="00DE6001" w:rsidP="003C3006">
            <w:pPr>
              <w:rPr>
                <w:rFonts w:asciiTheme="majorHAnsi" w:hAnsiTheme="majorHAnsi"/>
                <w:sz w:val="21"/>
                <w:szCs w:val="21"/>
              </w:rPr>
            </w:pPr>
            <w:r w:rsidRPr="00DE6001">
              <w:rPr>
                <w:rFonts w:asciiTheme="majorHAnsi" w:hAnsiTheme="majorHAnsi"/>
                <w:sz w:val="21"/>
                <w:szCs w:val="21"/>
              </w:rPr>
              <w:t>No distinction is made between inside and outside Directors.  All persons whom the Board determines exercise control and influence must qualify.</w:t>
            </w:r>
          </w:p>
        </w:tc>
      </w:tr>
      <w:tr w:rsidR="00DE6001" w:rsidTr="00952157">
        <w:tc>
          <w:tcPr>
            <w:tcW w:w="3192" w:type="dxa"/>
            <w:shd w:val="clear" w:color="auto" w:fill="FBD4B4" w:themeFill="accent6" w:themeFillTint="66"/>
            <w:vAlign w:val="center"/>
          </w:tcPr>
          <w:p w:rsidR="00DE6001" w:rsidRPr="00DE6001" w:rsidRDefault="00DE6001" w:rsidP="003C3006">
            <w:pPr>
              <w:jc w:val="center"/>
              <w:rPr>
                <w:rFonts w:asciiTheme="majorHAnsi" w:hAnsiTheme="majorHAnsi"/>
                <w:sz w:val="21"/>
                <w:szCs w:val="21"/>
              </w:rPr>
            </w:pPr>
            <w:r w:rsidRPr="00DE6001">
              <w:rPr>
                <w:rFonts w:asciiTheme="majorHAnsi" w:hAnsiTheme="majorHAnsi"/>
                <w:sz w:val="21"/>
                <w:szCs w:val="21"/>
              </w:rPr>
              <w:t>Indiana</w:t>
            </w:r>
          </w:p>
        </w:tc>
        <w:tc>
          <w:tcPr>
            <w:tcW w:w="3192" w:type="dxa"/>
            <w:shd w:val="clear" w:color="auto" w:fill="FBD4B4" w:themeFill="accent6" w:themeFillTint="66"/>
            <w:vAlign w:val="center"/>
          </w:tcPr>
          <w:p w:rsidR="00DE6001" w:rsidRPr="00DE6001" w:rsidRDefault="00DE6001" w:rsidP="003C3006">
            <w:pPr>
              <w:jc w:val="center"/>
              <w:rPr>
                <w:rFonts w:asciiTheme="majorHAnsi" w:hAnsiTheme="majorHAnsi"/>
                <w:sz w:val="21"/>
                <w:szCs w:val="21"/>
              </w:rPr>
            </w:pPr>
            <w:r w:rsidRPr="00DE6001">
              <w:rPr>
                <w:rFonts w:asciiTheme="majorHAnsi" w:hAnsiTheme="majorHAnsi"/>
                <w:sz w:val="21"/>
                <w:szCs w:val="21"/>
              </w:rPr>
              <w:t>Statute at IC 4-33-6-4(a)(1)(B) and Regulations at 68 IAC 1-1-57 and 68 IAC 2-1-4</w:t>
            </w:r>
          </w:p>
        </w:tc>
        <w:tc>
          <w:tcPr>
            <w:tcW w:w="3192" w:type="dxa"/>
            <w:shd w:val="clear" w:color="auto" w:fill="FBD4B4" w:themeFill="accent6" w:themeFillTint="66"/>
          </w:tcPr>
          <w:p w:rsidR="00DE6001" w:rsidRPr="00DE6001" w:rsidRDefault="00DE6001" w:rsidP="003C3006">
            <w:pPr>
              <w:rPr>
                <w:rFonts w:asciiTheme="majorHAnsi" w:hAnsiTheme="majorHAnsi"/>
                <w:sz w:val="21"/>
                <w:szCs w:val="21"/>
              </w:rPr>
            </w:pPr>
            <w:r w:rsidRPr="00DE6001">
              <w:rPr>
                <w:rFonts w:asciiTheme="majorHAnsi" w:hAnsiTheme="majorHAnsi"/>
                <w:sz w:val="21"/>
                <w:szCs w:val="21"/>
              </w:rPr>
              <w:t>Commission must approve all substantial owners, key persons or any other person that the Commission deems necessary. Key persons are defined to include Directors.  We have been advised by the Commission that it does not distinguish between inside and outside Directors except that outside Directors are not usually required to have a face to face interview.</w:t>
            </w:r>
          </w:p>
        </w:tc>
      </w:tr>
      <w:tr w:rsidR="00DE6001" w:rsidTr="00952157">
        <w:tc>
          <w:tcPr>
            <w:tcW w:w="3192" w:type="dxa"/>
            <w:shd w:val="clear" w:color="auto" w:fill="E5DFEC" w:themeFill="accent4" w:themeFillTint="33"/>
            <w:vAlign w:val="center"/>
          </w:tcPr>
          <w:p w:rsidR="00DE6001" w:rsidRPr="00DE6001" w:rsidRDefault="001B72FF" w:rsidP="003C3006">
            <w:pPr>
              <w:jc w:val="center"/>
              <w:rPr>
                <w:rFonts w:asciiTheme="majorHAnsi" w:hAnsiTheme="majorHAnsi"/>
                <w:sz w:val="21"/>
                <w:szCs w:val="21"/>
              </w:rPr>
            </w:pPr>
            <w:r>
              <w:rPr>
                <w:rFonts w:asciiTheme="majorHAnsi" w:hAnsiTheme="majorHAnsi"/>
                <w:sz w:val="21"/>
                <w:szCs w:val="21"/>
              </w:rPr>
              <w:t>Mi</w:t>
            </w:r>
            <w:r w:rsidR="00DE6001" w:rsidRPr="00DE6001">
              <w:rPr>
                <w:rFonts w:asciiTheme="majorHAnsi" w:hAnsiTheme="majorHAnsi"/>
                <w:sz w:val="21"/>
                <w:szCs w:val="21"/>
              </w:rPr>
              <w:t>ssouri</w:t>
            </w:r>
          </w:p>
        </w:tc>
        <w:tc>
          <w:tcPr>
            <w:tcW w:w="3192" w:type="dxa"/>
            <w:shd w:val="clear" w:color="auto" w:fill="E5DFEC" w:themeFill="accent4" w:themeFillTint="33"/>
            <w:vAlign w:val="center"/>
          </w:tcPr>
          <w:p w:rsidR="00DE6001" w:rsidRPr="00DE6001" w:rsidRDefault="00DE6001" w:rsidP="003C3006">
            <w:pPr>
              <w:jc w:val="center"/>
              <w:rPr>
                <w:rFonts w:asciiTheme="majorHAnsi" w:hAnsiTheme="majorHAnsi"/>
                <w:sz w:val="21"/>
                <w:szCs w:val="21"/>
              </w:rPr>
            </w:pPr>
            <w:r w:rsidRPr="00DE6001">
              <w:rPr>
                <w:rFonts w:asciiTheme="majorHAnsi" w:hAnsiTheme="majorHAnsi"/>
                <w:sz w:val="21"/>
                <w:szCs w:val="21"/>
              </w:rPr>
              <w:t>Statute at 313.020.1 and Regulations at 11 C.S.R. 45-4020(3)</w:t>
            </w:r>
          </w:p>
        </w:tc>
        <w:tc>
          <w:tcPr>
            <w:tcW w:w="3192" w:type="dxa"/>
            <w:shd w:val="clear" w:color="auto" w:fill="E5DFEC" w:themeFill="accent4" w:themeFillTint="33"/>
          </w:tcPr>
          <w:p w:rsidR="00DE6001" w:rsidRPr="00DE6001" w:rsidRDefault="00DE6001" w:rsidP="003C3006">
            <w:pPr>
              <w:rPr>
                <w:rFonts w:asciiTheme="majorHAnsi" w:hAnsiTheme="majorHAnsi"/>
                <w:sz w:val="21"/>
                <w:szCs w:val="21"/>
              </w:rPr>
            </w:pPr>
            <w:r w:rsidRPr="00DE6001">
              <w:rPr>
                <w:rFonts w:asciiTheme="majorHAnsi" w:hAnsiTheme="majorHAnsi"/>
                <w:sz w:val="21"/>
                <w:szCs w:val="21"/>
              </w:rPr>
              <w:t>All Directors are treated exactly the same whether inside or outside.</w:t>
            </w:r>
          </w:p>
        </w:tc>
      </w:tr>
      <w:tr w:rsidR="00DE6001" w:rsidTr="00952157">
        <w:tc>
          <w:tcPr>
            <w:tcW w:w="3192" w:type="dxa"/>
            <w:shd w:val="clear" w:color="auto" w:fill="DAEEF3" w:themeFill="accent5" w:themeFillTint="33"/>
            <w:vAlign w:val="center"/>
          </w:tcPr>
          <w:p w:rsidR="00DE6001" w:rsidRPr="00DE6001" w:rsidRDefault="00DE6001" w:rsidP="003C3006">
            <w:pPr>
              <w:jc w:val="center"/>
              <w:rPr>
                <w:rFonts w:asciiTheme="majorHAnsi" w:hAnsiTheme="majorHAnsi"/>
                <w:sz w:val="21"/>
                <w:szCs w:val="21"/>
              </w:rPr>
            </w:pPr>
            <w:r w:rsidRPr="00DE6001">
              <w:rPr>
                <w:rFonts w:asciiTheme="majorHAnsi" w:hAnsiTheme="majorHAnsi"/>
                <w:sz w:val="21"/>
                <w:szCs w:val="21"/>
              </w:rPr>
              <w:t>Michigan</w:t>
            </w:r>
          </w:p>
        </w:tc>
        <w:tc>
          <w:tcPr>
            <w:tcW w:w="3192" w:type="dxa"/>
            <w:shd w:val="clear" w:color="auto" w:fill="DAEEF3" w:themeFill="accent5" w:themeFillTint="33"/>
            <w:vAlign w:val="center"/>
          </w:tcPr>
          <w:p w:rsidR="00DE6001" w:rsidRPr="00DE6001" w:rsidRDefault="00DE6001" w:rsidP="003C3006">
            <w:pPr>
              <w:jc w:val="center"/>
              <w:rPr>
                <w:rFonts w:asciiTheme="majorHAnsi" w:hAnsiTheme="majorHAnsi"/>
                <w:sz w:val="21"/>
                <w:szCs w:val="21"/>
              </w:rPr>
            </w:pPr>
            <w:r w:rsidRPr="00DE6001">
              <w:rPr>
                <w:rFonts w:asciiTheme="majorHAnsi" w:hAnsiTheme="majorHAnsi"/>
                <w:sz w:val="21"/>
                <w:szCs w:val="21"/>
              </w:rPr>
              <w:t>Statute at Michigan Gaming Control and Revenue Act Section 432.205(b) and Regulations at R. 432.1104(c) and R. 432.1304</w:t>
            </w:r>
          </w:p>
        </w:tc>
        <w:tc>
          <w:tcPr>
            <w:tcW w:w="3192" w:type="dxa"/>
            <w:shd w:val="clear" w:color="auto" w:fill="DAEEF3" w:themeFill="accent5" w:themeFillTint="33"/>
          </w:tcPr>
          <w:p w:rsidR="00DE6001" w:rsidRPr="00DE6001" w:rsidRDefault="00DE6001" w:rsidP="003C3006">
            <w:pPr>
              <w:rPr>
                <w:rFonts w:asciiTheme="majorHAnsi" w:hAnsiTheme="majorHAnsi"/>
                <w:sz w:val="21"/>
                <w:szCs w:val="21"/>
              </w:rPr>
            </w:pPr>
            <w:r w:rsidRPr="00DE6001">
              <w:rPr>
                <w:rFonts w:asciiTheme="majorHAnsi" w:hAnsiTheme="majorHAnsi"/>
                <w:sz w:val="21"/>
                <w:szCs w:val="21"/>
              </w:rPr>
              <w:t>All inside Directors are required to be qualified.  Outside Directors are reviewed on a case by case basis depending on their role. Can file a limited disclosure.</w:t>
            </w:r>
          </w:p>
        </w:tc>
      </w:tr>
    </w:tbl>
    <w:p w:rsidR="00AF1D2C" w:rsidRPr="00AF1D2C" w:rsidRDefault="00AF1D2C" w:rsidP="00AF1D2C"/>
    <w:sectPr w:rsidR="00AF1D2C" w:rsidRPr="00AF1D2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356" w:rsidRDefault="009A5356" w:rsidP="00AF1D2C">
      <w:pPr>
        <w:spacing w:after="0" w:line="240" w:lineRule="auto"/>
      </w:pPr>
      <w:r>
        <w:separator/>
      </w:r>
    </w:p>
  </w:endnote>
  <w:endnote w:type="continuationSeparator" w:id="0">
    <w:p w:rsidR="009A5356" w:rsidRDefault="009A5356" w:rsidP="00A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356" w:rsidRDefault="009A5356" w:rsidP="00AF1D2C">
      <w:pPr>
        <w:spacing w:after="0" w:line="240" w:lineRule="auto"/>
      </w:pPr>
      <w:r>
        <w:separator/>
      </w:r>
    </w:p>
  </w:footnote>
  <w:footnote w:type="continuationSeparator" w:id="0">
    <w:p w:rsidR="009A5356" w:rsidRDefault="009A5356" w:rsidP="00AF1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36"/>
        <w:szCs w:val="36"/>
        <w14:shadow w14:blurRad="50800" w14:dist="38100" w14:dir="2700000" w14:sx="100000" w14:sy="100000" w14:kx="0" w14:ky="0" w14:algn="tl">
          <w14:srgbClr w14:val="000000">
            <w14:alpha w14:val="60000"/>
          </w14:srgbClr>
        </w14:shadow>
      </w:rPr>
      <w:alias w:val="Title"/>
      <w:id w:val="-68434330"/>
      <w:placeholder>
        <w:docPart w:val="5B5E4C3E31BD4E32964CEC34BA506EFA"/>
      </w:placeholder>
      <w:dataBinding w:prefixMappings="xmlns:ns0='http://schemas.openxmlformats.org/package/2006/metadata/core-properties' xmlns:ns1='http://purl.org/dc/elements/1.1/'" w:xpath="/ns0:coreProperties[1]/ns1:title[1]" w:storeItemID="{6C3C8BC8-F283-45AE-878A-BAB7291924A1}"/>
      <w:text/>
    </w:sdtPr>
    <w:sdtEndPr/>
    <w:sdtContent>
      <w:p w:rsidR="00AF1D2C" w:rsidRPr="00E51581" w:rsidRDefault="004447E8">
        <w:pPr>
          <w:pStyle w:val="Header"/>
          <w:pBdr>
            <w:bottom w:val="thickThinSmallGap" w:sz="24" w:space="1" w:color="622423" w:themeColor="accent2" w:themeShade="7F"/>
          </w:pBdr>
          <w:jc w:val="center"/>
          <w:rPr>
            <w:rFonts w:asciiTheme="majorHAnsi" w:eastAsiaTheme="majorEastAsia" w:hAnsiTheme="majorHAnsi" w:cstheme="majorBidi"/>
            <w:b/>
            <w:sz w:val="36"/>
            <w:szCs w:val="36"/>
            <w14:shadow w14:blurRad="50800" w14:dist="38100" w14:dir="2700000" w14:sx="100000" w14:sy="100000" w14:kx="0" w14:ky="0" w14:algn="tl">
              <w14:srgbClr w14:val="000000">
                <w14:alpha w14:val="60000"/>
              </w14:srgbClr>
            </w14:shadow>
          </w:rPr>
        </w:pPr>
        <w:r>
          <w:rPr>
            <w:rFonts w:asciiTheme="majorHAnsi" w:eastAsiaTheme="majorEastAsia" w:hAnsiTheme="majorHAnsi" w:cstheme="majorBidi"/>
            <w:b/>
            <w:sz w:val="36"/>
            <w:szCs w:val="36"/>
            <w14:shadow w14:blurRad="50800" w14:dist="38100" w14:dir="2700000" w14:sx="100000" w14:sy="100000" w14:kx="0" w14:ky="0" w14:algn="tl">
              <w14:srgbClr w14:val="000000">
                <w14:alpha w14:val="60000"/>
              </w14:srgbClr>
            </w14:shadow>
          </w:rPr>
          <w:t>TREATMENT OF OUTSIDE DIRECTORS IN OTHER JURISDICTIONS (CASINO COMPANIES)</w:t>
        </w:r>
      </w:p>
    </w:sdtContent>
  </w:sdt>
  <w:p w:rsidR="00AF1D2C" w:rsidRDefault="00AF1D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2C"/>
    <w:rsid w:val="001551A7"/>
    <w:rsid w:val="001B51D4"/>
    <w:rsid w:val="001B72FF"/>
    <w:rsid w:val="001C54D7"/>
    <w:rsid w:val="00201581"/>
    <w:rsid w:val="002919F0"/>
    <w:rsid w:val="00296A51"/>
    <w:rsid w:val="004447E8"/>
    <w:rsid w:val="00683DB7"/>
    <w:rsid w:val="00952157"/>
    <w:rsid w:val="009A5356"/>
    <w:rsid w:val="00A959EA"/>
    <w:rsid w:val="00AF1D2C"/>
    <w:rsid w:val="00DE6001"/>
    <w:rsid w:val="00E17FC4"/>
    <w:rsid w:val="00E51581"/>
    <w:rsid w:val="00F9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1D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1D2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F1D2C"/>
    <w:rPr>
      <w:b/>
      <w:bCs/>
      <w:smallCaps/>
      <w:spacing w:val="5"/>
    </w:rPr>
  </w:style>
  <w:style w:type="paragraph" w:styleId="Subtitle">
    <w:name w:val="Subtitle"/>
    <w:basedOn w:val="Normal"/>
    <w:next w:val="Normal"/>
    <w:link w:val="SubtitleChar"/>
    <w:uiPriority w:val="11"/>
    <w:qFormat/>
    <w:rsid w:val="00AF1D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1D2C"/>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AF1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1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D2C"/>
    <w:rPr>
      <w:rFonts w:ascii="Tahoma" w:hAnsi="Tahoma" w:cs="Tahoma"/>
      <w:sz w:val="16"/>
      <w:szCs w:val="16"/>
    </w:rPr>
  </w:style>
  <w:style w:type="paragraph" w:styleId="Header">
    <w:name w:val="header"/>
    <w:basedOn w:val="Normal"/>
    <w:link w:val="HeaderChar"/>
    <w:uiPriority w:val="99"/>
    <w:unhideWhenUsed/>
    <w:rsid w:val="00AF1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D2C"/>
  </w:style>
  <w:style w:type="paragraph" w:styleId="Footer">
    <w:name w:val="footer"/>
    <w:basedOn w:val="Normal"/>
    <w:link w:val="FooterChar"/>
    <w:uiPriority w:val="99"/>
    <w:unhideWhenUsed/>
    <w:rsid w:val="00AF1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1D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1D2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F1D2C"/>
    <w:rPr>
      <w:b/>
      <w:bCs/>
      <w:smallCaps/>
      <w:spacing w:val="5"/>
    </w:rPr>
  </w:style>
  <w:style w:type="paragraph" w:styleId="Subtitle">
    <w:name w:val="Subtitle"/>
    <w:basedOn w:val="Normal"/>
    <w:next w:val="Normal"/>
    <w:link w:val="SubtitleChar"/>
    <w:uiPriority w:val="11"/>
    <w:qFormat/>
    <w:rsid w:val="00AF1D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1D2C"/>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AF1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1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D2C"/>
    <w:rPr>
      <w:rFonts w:ascii="Tahoma" w:hAnsi="Tahoma" w:cs="Tahoma"/>
      <w:sz w:val="16"/>
      <w:szCs w:val="16"/>
    </w:rPr>
  </w:style>
  <w:style w:type="paragraph" w:styleId="Header">
    <w:name w:val="header"/>
    <w:basedOn w:val="Normal"/>
    <w:link w:val="HeaderChar"/>
    <w:uiPriority w:val="99"/>
    <w:unhideWhenUsed/>
    <w:rsid w:val="00AF1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D2C"/>
  </w:style>
  <w:style w:type="paragraph" w:styleId="Footer">
    <w:name w:val="footer"/>
    <w:basedOn w:val="Normal"/>
    <w:link w:val="FooterChar"/>
    <w:uiPriority w:val="99"/>
    <w:unhideWhenUsed/>
    <w:rsid w:val="00AF1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5E4C3E31BD4E32964CEC34BA506EFA"/>
        <w:category>
          <w:name w:val="General"/>
          <w:gallery w:val="placeholder"/>
        </w:category>
        <w:types>
          <w:type w:val="bbPlcHdr"/>
        </w:types>
        <w:behaviors>
          <w:behavior w:val="content"/>
        </w:behaviors>
        <w:guid w:val="{9807BC3F-7BB7-4378-B46E-B871602F2F6C}"/>
      </w:docPartPr>
      <w:docPartBody>
        <w:p w:rsidR="00EF7916" w:rsidRDefault="005E0657" w:rsidP="005E0657">
          <w:pPr>
            <w:pStyle w:val="5B5E4C3E31BD4E32964CEC34BA506EF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57"/>
    <w:rsid w:val="000D7183"/>
    <w:rsid w:val="005E0657"/>
    <w:rsid w:val="00917E5A"/>
    <w:rsid w:val="00AA7960"/>
    <w:rsid w:val="00C4591E"/>
    <w:rsid w:val="00EF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5E4C3E31BD4E32964CEC34BA506EFA">
    <w:name w:val="5B5E4C3E31BD4E32964CEC34BA506EFA"/>
    <w:rsid w:val="005E06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5E4C3E31BD4E32964CEC34BA506EFA">
    <w:name w:val="5B5E4C3E31BD4E32964CEC34BA506EFA"/>
    <w:rsid w:val="005E0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8ECA3-524D-44AD-AC39-485A32A2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TREATMENT OF OUTSIDE DIRECTORS IN OTHER JURISDICTIONS (CASINO COMPANIES)</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OUTSIDE DIRECTORS IN OTHER JURISDICTIONS (CASINO COMPANIES)</dc:title>
  <dc:creator>SNB</dc:creator>
  <cp:lastModifiedBy>ANF</cp:lastModifiedBy>
  <cp:revision>2</cp:revision>
  <dcterms:created xsi:type="dcterms:W3CDTF">2017-04-22T12:37:00Z</dcterms:created>
  <dcterms:modified xsi:type="dcterms:W3CDTF">2017-04-22T12:37:00Z</dcterms:modified>
</cp:coreProperties>
</file>